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0C362604" w:rsidR="0047408E" w:rsidRPr="00E710AA" w:rsidRDefault="00663380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3GPP TSG-RAN WG2 Meeting #11</w:t>
      </w:r>
      <w:r w:rsidR="009A5127">
        <w:rPr>
          <w:rFonts w:cs="Arial"/>
          <w:bCs/>
          <w:sz w:val="24"/>
          <w:szCs w:val="24"/>
          <w:lang w:eastAsia="ja-JP"/>
        </w:rPr>
        <w:t>6</w:t>
      </w:r>
      <w:r w:rsidR="00880F95">
        <w:rPr>
          <w:rFonts w:cs="Arial"/>
          <w:bCs/>
          <w:sz w:val="24"/>
          <w:szCs w:val="24"/>
          <w:lang w:eastAsia="ja-JP"/>
        </w:rPr>
        <w:t>-</w:t>
      </w:r>
      <w:r w:rsidR="00EC6925" w:rsidRPr="00E710AA">
        <w:rPr>
          <w:rFonts w:cs="Arial"/>
          <w:bCs/>
          <w:sz w:val="24"/>
          <w:szCs w:val="24"/>
          <w:lang w:eastAsia="ja-JP"/>
        </w:rPr>
        <w:t>e</w:t>
      </w:r>
      <w:r w:rsidR="000C2E71">
        <w:rPr>
          <w:rFonts w:cs="Arial"/>
          <w:bCs/>
          <w:sz w:val="24"/>
          <w:szCs w:val="24"/>
          <w:lang w:eastAsia="ja-JP"/>
        </w:rPr>
        <w:t xml:space="preserve">                                        </w:t>
      </w:r>
      <w:r w:rsidR="00B166DB" w:rsidRPr="00E710AA">
        <w:rPr>
          <w:rFonts w:cs="Arial"/>
          <w:bCs/>
          <w:sz w:val="24"/>
          <w:szCs w:val="24"/>
          <w:lang w:eastAsia="ja-JP"/>
        </w:rPr>
        <w:t>R2-</w:t>
      </w:r>
      <w:r w:rsidR="004E49D1">
        <w:rPr>
          <w:rFonts w:cs="Arial"/>
          <w:bCs/>
          <w:sz w:val="24"/>
          <w:szCs w:val="24"/>
          <w:lang w:eastAsia="ja-JP"/>
        </w:rPr>
        <w:t>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6806FD">
        <w:rPr>
          <w:rFonts w:cs="Arial"/>
          <w:bCs/>
          <w:sz w:val="24"/>
          <w:szCs w:val="24"/>
          <w:lang w:eastAsia="ja-JP"/>
        </w:rPr>
        <w:t>0</w:t>
      </w:r>
      <w:r w:rsidR="00493B7F">
        <w:rPr>
          <w:rFonts w:cs="Arial"/>
          <w:bCs/>
          <w:sz w:val="24"/>
          <w:szCs w:val="24"/>
          <w:lang w:eastAsia="ja-JP"/>
        </w:rPr>
        <w:t>9923</w:t>
      </w:r>
    </w:p>
    <w:p w14:paraId="29CDF947" w14:textId="3B42C046" w:rsidR="0047408E" w:rsidRPr="00E710AA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Online</w:t>
      </w:r>
      <w:r w:rsidR="00EC6925" w:rsidRPr="00E710AA">
        <w:rPr>
          <w:rFonts w:cs="Arial"/>
          <w:bCs/>
          <w:sz w:val="24"/>
          <w:szCs w:val="24"/>
          <w:lang w:eastAsia="ja-JP"/>
        </w:rPr>
        <w:t xml:space="preserve">, </w:t>
      </w:r>
      <w:r w:rsidR="00500EFB">
        <w:rPr>
          <w:rFonts w:cs="Arial"/>
          <w:bCs/>
          <w:sz w:val="24"/>
          <w:szCs w:val="24"/>
          <w:lang w:eastAsia="ja-JP"/>
        </w:rPr>
        <w:t>Nov</w:t>
      </w:r>
      <w:r w:rsidR="00DA3BD5" w:rsidRPr="00CC3E84">
        <w:rPr>
          <w:rFonts w:cs="Arial"/>
          <w:bCs/>
          <w:sz w:val="24"/>
          <w:szCs w:val="24"/>
          <w:lang w:eastAsia="ja-JP"/>
        </w:rPr>
        <w:t xml:space="preserve"> </w:t>
      </w:r>
      <w:r w:rsidR="00500EFB">
        <w:rPr>
          <w:rFonts w:cs="Arial"/>
          <w:bCs/>
          <w:sz w:val="24"/>
          <w:szCs w:val="24"/>
          <w:lang w:eastAsia="ja-JP"/>
        </w:rPr>
        <w:t>1</w:t>
      </w:r>
      <w:r w:rsidR="00500EFB">
        <w:rPr>
          <w:rFonts w:cs="Arial"/>
          <w:bCs/>
          <w:sz w:val="24"/>
          <w:szCs w:val="24"/>
          <w:vertAlign w:val="superscript"/>
          <w:lang w:eastAsia="ja-JP"/>
        </w:rPr>
        <w:t>st</w:t>
      </w:r>
      <w:r w:rsidR="00DA3BD5" w:rsidRPr="00CC3E84">
        <w:rPr>
          <w:rFonts w:cs="Arial"/>
          <w:bCs/>
          <w:sz w:val="24"/>
          <w:szCs w:val="24"/>
          <w:lang w:eastAsia="ja-JP"/>
        </w:rPr>
        <w:t xml:space="preserve"> – </w:t>
      </w:r>
      <w:r w:rsidR="00500EFB">
        <w:rPr>
          <w:rFonts w:cs="Arial"/>
          <w:bCs/>
          <w:sz w:val="24"/>
          <w:szCs w:val="24"/>
          <w:lang w:eastAsia="ja-JP"/>
        </w:rPr>
        <w:t>Nov</w:t>
      </w:r>
      <w:r w:rsidR="00DA3BD5" w:rsidRPr="00CC3E84">
        <w:rPr>
          <w:rFonts w:cs="Arial"/>
          <w:bCs/>
          <w:sz w:val="24"/>
          <w:szCs w:val="24"/>
          <w:lang w:eastAsia="ja-JP"/>
        </w:rPr>
        <w:t xml:space="preserve"> </w:t>
      </w:r>
      <w:r w:rsidR="00500EFB">
        <w:rPr>
          <w:rFonts w:cs="Arial"/>
          <w:bCs/>
          <w:sz w:val="24"/>
          <w:szCs w:val="24"/>
          <w:lang w:eastAsia="ja-JP"/>
        </w:rPr>
        <w:t>12</w:t>
      </w:r>
      <w:r w:rsidR="00DA3BD5" w:rsidRPr="00DA3BD5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DA3BD5" w:rsidRPr="00CC3E84">
        <w:rPr>
          <w:rFonts w:cs="Arial"/>
          <w:bCs/>
          <w:sz w:val="24"/>
          <w:szCs w:val="24"/>
          <w:lang w:eastAsia="ja-JP"/>
        </w:rPr>
        <w:t>, 2021</w:t>
      </w:r>
      <w:r w:rsidR="000C2E71">
        <w:rPr>
          <w:rFonts w:cs="Arial"/>
          <w:bCs/>
          <w:sz w:val="24"/>
          <w:szCs w:val="24"/>
          <w:lang w:eastAsia="ja-JP"/>
        </w:rPr>
        <w:t xml:space="preserve">                                    </w:t>
      </w:r>
      <w:r w:rsidR="00B55AED" w:rsidRPr="00E710AA">
        <w:rPr>
          <w:rFonts w:cs="Arial"/>
          <w:bCs/>
          <w:sz w:val="24"/>
          <w:szCs w:val="24"/>
          <w:lang w:eastAsia="ja-JP"/>
        </w:rPr>
        <w:tab/>
      </w:r>
    </w:p>
    <w:p w14:paraId="5DE0EDD6" w14:textId="77777777" w:rsidR="0047408E" w:rsidRPr="00E710A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</w:p>
    <w:p w14:paraId="19110ACE" w14:textId="7721D965" w:rsidR="0047408E" w:rsidRPr="00E710AA" w:rsidRDefault="00131BAF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Agenda Item:</w:t>
      </w:r>
      <w:r w:rsidRPr="00E710AA">
        <w:rPr>
          <w:rFonts w:cs="Arial"/>
          <w:b/>
          <w:noProof/>
          <w:sz w:val="24"/>
        </w:rPr>
        <w:tab/>
      </w:r>
      <w:r w:rsidR="00B70656">
        <w:rPr>
          <w:rFonts w:cs="Arial"/>
          <w:b/>
          <w:noProof/>
          <w:sz w:val="24"/>
        </w:rPr>
        <w:t>9.2.4</w:t>
      </w:r>
      <w:bookmarkStart w:id="0" w:name="_GoBack"/>
      <w:bookmarkEnd w:id="0"/>
    </w:p>
    <w:p w14:paraId="3DD82F11" w14:textId="1DB6AE3C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Souce:</w:t>
      </w:r>
      <w:r w:rsidRPr="00E710AA">
        <w:rPr>
          <w:rFonts w:cs="Arial"/>
          <w:b/>
          <w:noProof/>
          <w:sz w:val="24"/>
        </w:rPr>
        <w:tab/>
        <w:t>MediaTek Inc.</w:t>
      </w:r>
    </w:p>
    <w:p w14:paraId="29927BCA" w14:textId="515768B6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bookmarkStart w:id="1" w:name="OLE_LINK1"/>
      <w:bookmarkStart w:id="2" w:name="OLE_LINK2"/>
      <w:r w:rsidRPr="00E710AA">
        <w:rPr>
          <w:rFonts w:cs="Arial"/>
          <w:b/>
          <w:noProof/>
          <w:sz w:val="24"/>
        </w:rPr>
        <w:t>Title:</w:t>
      </w:r>
      <w:r w:rsidRPr="00E710AA">
        <w:rPr>
          <w:rFonts w:cs="Arial"/>
          <w:b/>
          <w:noProof/>
          <w:sz w:val="24"/>
        </w:rPr>
        <w:tab/>
      </w:r>
      <w:r w:rsidR="005E1EAC" w:rsidRPr="00E710AA">
        <w:rPr>
          <w:rFonts w:cs="Arial"/>
          <w:b/>
          <w:noProof/>
          <w:sz w:val="24"/>
        </w:rPr>
        <w:t xml:space="preserve">On </w:t>
      </w:r>
      <w:r w:rsidR="009C2E0E">
        <w:rPr>
          <w:rFonts w:cs="Arial"/>
          <w:b/>
          <w:noProof/>
          <w:sz w:val="24"/>
        </w:rPr>
        <w:t>Cell Re-selection</w:t>
      </w:r>
      <w:r w:rsidR="00B62AF8">
        <w:rPr>
          <w:rFonts w:cs="Arial"/>
          <w:b/>
          <w:noProof/>
          <w:sz w:val="24"/>
        </w:rPr>
        <w:t xml:space="preserve"> in </w:t>
      </w:r>
      <w:r w:rsidR="00232367">
        <w:rPr>
          <w:rFonts w:cs="Arial"/>
          <w:b/>
          <w:noProof/>
          <w:sz w:val="24"/>
        </w:rPr>
        <w:t>IoT</w:t>
      </w:r>
      <w:r w:rsidR="00B62AF8">
        <w:rPr>
          <w:rFonts w:cs="Arial"/>
          <w:b/>
          <w:noProof/>
          <w:sz w:val="24"/>
        </w:rPr>
        <w:t>-NTN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Document for:</w:t>
      </w:r>
      <w:r w:rsidRPr="00E710AA">
        <w:rPr>
          <w:rFonts w:cs="Arial"/>
          <w:b/>
          <w:noProof/>
          <w:sz w:val="24"/>
        </w:rPr>
        <w:tab/>
        <w:t>Discussion and decision</w:t>
      </w:r>
      <w:bookmarkEnd w:id="1"/>
      <w:bookmarkEnd w:id="2"/>
    </w:p>
    <w:p w14:paraId="608BDFC8" w14:textId="1A2F05DF" w:rsidR="00506F32" w:rsidRPr="005E1EAC" w:rsidRDefault="0047408E" w:rsidP="00B166DB">
      <w:pPr>
        <w:pStyle w:val="Heading1"/>
        <w:rPr>
          <w:rFonts w:ascii="Times New Roman" w:hAnsi="Times New Roman"/>
          <w:b/>
          <w:lang w:val="en-US" w:eastAsia="ko-KR"/>
        </w:rPr>
      </w:pPr>
      <w:r w:rsidRPr="005E1EAC">
        <w:rPr>
          <w:rFonts w:ascii="Times New Roman" w:hAnsi="Times New Roman"/>
          <w:b/>
          <w:lang w:val="en-US" w:eastAsia="ko-KR"/>
        </w:rPr>
        <w:t>1 Introduction</w:t>
      </w:r>
    </w:p>
    <w:p w14:paraId="4C7410F5" w14:textId="5BE0ACEF" w:rsidR="00237227" w:rsidRDefault="00237227" w:rsidP="00237227">
      <w:pPr>
        <w:tabs>
          <w:tab w:val="left" w:pos="1622"/>
        </w:tabs>
        <w:spacing w:after="0"/>
        <w:rPr>
          <w:rFonts w:ascii="Arial" w:eastAsia="MS Mincho" w:hAnsi="Arial" w:cs="Arial"/>
          <w:szCs w:val="24"/>
          <w:lang w:eastAsia="en-GB"/>
        </w:rPr>
      </w:pPr>
      <w:r w:rsidRPr="00670B47">
        <w:rPr>
          <w:rFonts w:ascii="Arial" w:eastAsia="MS Mincho" w:hAnsi="Arial" w:cs="Arial"/>
          <w:szCs w:val="24"/>
          <w:lang w:eastAsia="en-GB"/>
        </w:rPr>
        <w:t xml:space="preserve">A satellite forms multiple beams projecting on Earth. Each beam covers a certain area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arth. </w:t>
      </w:r>
      <w:r>
        <w:rPr>
          <w:rFonts w:ascii="Arial" w:eastAsia="MS Mincho" w:hAnsi="Arial" w:cs="Arial"/>
          <w:szCs w:val="24"/>
          <w:lang w:eastAsia="en-GB"/>
        </w:rPr>
        <w:t>As the LEO satellite is moving, these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beams are </w:t>
      </w:r>
      <w:r>
        <w:rPr>
          <w:rFonts w:ascii="Arial" w:eastAsia="MS Mincho" w:hAnsi="Arial" w:cs="Arial"/>
          <w:szCs w:val="24"/>
          <w:lang w:eastAsia="en-GB"/>
        </w:rPr>
        <w:t xml:space="preserve">also </w:t>
      </w:r>
      <w:r w:rsidRPr="00670B47">
        <w:rPr>
          <w:rFonts w:ascii="Arial" w:eastAsia="MS Mincho" w:hAnsi="Arial" w:cs="Arial"/>
          <w:szCs w:val="24"/>
          <w:lang w:eastAsia="en-GB"/>
        </w:rPr>
        <w:t>actually moving</w:t>
      </w:r>
      <w:r>
        <w:rPr>
          <w:rFonts w:ascii="Arial" w:eastAsia="MS Mincho" w:hAnsi="Arial" w:cs="Arial"/>
          <w:szCs w:val="24"/>
          <w:lang w:eastAsia="en-GB"/>
        </w:rPr>
        <w:t xml:space="preserve"> with time.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This means, if a UE is static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 </w:t>
      </w:r>
      <w:r w:rsidR="00CB6415">
        <w:rPr>
          <w:rFonts w:ascii="Arial" w:eastAsia="MS Mincho" w:hAnsi="Arial" w:cs="Arial"/>
          <w:szCs w:val="24"/>
          <w:lang w:eastAsia="en-GB"/>
        </w:rPr>
        <w:t>and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receive</w:t>
      </w:r>
      <w:r w:rsidR="00CB6415">
        <w:rPr>
          <w:rFonts w:ascii="Arial" w:eastAsia="MS Mincho" w:hAnsi="Arial" w:cs="Arial"/>
          <w:szCs w:val="24"/>
          <w:lang w:eastAsia="en-GB"/>
        </w:rPr>
        <w:t>s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the signal from a satellite, the serving beam of a UE </w:t>
      </w:r>
      <w:r>
        <w:rPr>
          <w:rFonts w:ascii="Arial" w:eastAsia="MS Mincho" w:hAnsi="Arial" w:cs="Arial"/>
          <w:szCs w:val="24"/>
          <w:lang w:eastAsia="en-GB"/>
        </w:rPr>
        <w:t>will be changing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>over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time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 beam is </w:t>
      </w:r>
      <w:r>
        <w:rPr>
          <w:rFonts w:ascii="Arial" w:eastAsia="MS Mincho" w:hAnsi="Arial" w:cs="Arial"/>
          <w:szCs w:val="24"/>
          <w:lang w:eastAsia="en-GB"/>
        </w:rPr>
        <w:t>actually the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coverage through a set of antenna elements. For different set of antenna elements, the formed beam on Earth can be adjusted to reduce overlapping between beams</w:t>
      </w:r>
      <w:r>
        <w:rPr>
          <w:rFonts w:ascii="Arial" w:eastAsia="MS Mincho" w:hAnsi="Arial" w:cs="Arial"/>
          <w:szCs w:val="24"/>
          <w:lang w:eastAsia="en-GB"/>
        </w:rPr>
        <w:t>.</w:t>
      </w:r>
      <w:r w:rsidR="002814AD">
        <w:rPr>
          <w:rFonts w:ascii="Arial" w:eastAsia="MS Mincho" w:hAnsi="Arial" w:cs="Arial"/>
          <w:szCs w:val="24"/>
          <w:lang w:eastAsia="en-GB"/>
        </w:rPr>
        <w:t xml:space="preserve"> This has been discussed</w:t>
      </w:r>
      <w:r>
        <w:rPr>
          <w:rFonts w:ascii="Arial" w:eastAsia="MS Mincho" w:hAnsi="Arial" w:cs="Arial"/>
          <w:szCs w:val="24"/>
          <w:lang w:eastAsia="en-GB"/>
        </w:rPr>
        <w:t xml:space="preserve"> </w:t>
      </w:r>
      <w:r w:rsidR="002814AD">
        <w:rPr>
          <w:rFonts w:ascii="Arial" w:eastAsia="MS Mincho" w:hAnsi="Arial" w:cs="Arial"/>
          <w:szCs w:val="24"/>
          <w:lang w:eastAsia="en-GB"/>
        </w:rPr>
        <w:t>d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uring the </w:t>
      </w:r>
      <w:r w:rsidR="002814AD">
        <w:rPr>
          <w:rFonts w:ascii="Arial" w:eastAsia="MS Mincho" w:hAnsi="Arial" w:cs="Arial"/>
          <w:szCs w:val="24"/>
          <w:lang w:eastAsia="en-GB"/>
        </w:rPr>
        <w:t>IoT-</w:t>
      </w:r>
      <w:r>
        <w:rPr>
          <w:rFonts w:ascii="Arial" w:eastAsia="MS Mincho" w:hAnsi="Arial" w:cs="Arial"/>
          <w:szCs w:val="24"/>
          <w:lang w:eastAsia="en-GB"/>
        </w:rPr>
        <w:t>NTN Study Item (SI)</w:t>
      </w:r>
      <w:r w:rsidR="002814AD">
        <w:rPr>
          <w:rFonts w:ascii="Arial" w:eastAsia="MS Mincho" w:hAnsi="Arial" w:cs="Arial"/>
          <w:szCs w:val="24"/>
          <w:lang w:eastAsia="en-GB"/>
        </w:rPr>
        <w:t xml:space="preserve"> [1] and NR-NTN SI [2].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 xml:space="preserve">Table 1 below highlights the major RAN2 recommendations for Idle </w:t>
      </w:r>
      <w:r w:rsidR="00AA5CD8">
        <w:rPr>
          <w:rFonts w:ascii="Arial" w:eastAsia="MS Mincho" w:hAnsi="Arial" w:cs="Arial"/>
          <w:szCs w:val="24"/>
          <w:lang w:eastAsia="en-GB"/>
        </w:rPr>
        <w:t>M</w:t>
      </w:r>
      <w:r>
        <w:rPr>
          <w:rFonts w:ascii="Arial" w:eastAsia="MS Mincho" w:hAnsi="Arial" w:cs="Arial"/>
          <w:szCs w:val="24"/>
          <w:lang w:eastAsia="en-GB"/>
        </w:rPr>
        <w:t xml:space="preserve">ode operations in NR-NTN [1]. </w:t>
      </w:r>
    </w:p>
    <w:p w14:paraId="5766390E" w14:textId="16890A97" w:rsidR="00237227" w:rsidRDefault="00237227" w:rsidP="00237227">
      <w:pPr>
        <w:pStyle w:val="Caption"/>
        <w:jc w:val="center"/>
        <w:rPr>
          <w:rFonts w:ascii="Arial" w:eastAsia="MS Mincho" w:hAnsi="Arial" w:cs="Arial"/>
          <w:szCs w:val="24"/>
          <w:lang w:eastAsia="en-GB"/>
        </w:rPr>
      </w:pPr>
      <w:r>
        <w:t xml:space="preserve">Table </w:t>
      </w:r>
      <w:r w:rsidR="00DA0575">
        <w:rPr>
          <w:noProof/>
        </w:rPr>
        <w:fldChar w:fldCharType="begin"/>
      </w:r>
      <w:r w:rsidR="00DA0575">
        <w:rPr>
          <w:noProof/>
        </w:rPr>
        <w:instrText xml:space="preserve"> SEQ Table \* ARABIC </w:instrText>
      </w:r>
      <w:r w:rsidR="00DA0575">
        <w:rPr>
          <w:noProof/>
        </w:rPr>
        <w:fldChar w:fldCharType="separate"/>
      </w:r>
      <w:r>
        <w:rPr>
          <w:noProof/>
        </w:rPr>
        <w:t>1</w:t>
      </w:r>
      <w:r w:rsidR="00DA0575">
        <w:rPr>
          <w:noProof/>
        </w:rPr>
        <w:fldChar w:fldCharType="end"/>
      </w:r>
      <w:r>
        <w:t>: Major Recommendations from RAN2 on Idle mod</w:t>
      </w:r>
      <w:r w:rsidR="009E7B10">
        <w:t>e</w:t>
      </w:r>
      <w:r>
        <w:t xml:space="preserve"> Operations in NR-NTN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8121"/>
      </w:tblGrid>
      <w:tr w:rsidR="00237227" w14:paraId="08DDB0DA" w14:textId="77777777" w:rsidTr="00CC7001">
        <w:tc>
          <w:tcPr>
            <w:tcW w:w="8121" w:type="dxa"/>
          </w:tcPr>
          <w:p w14:paraId="2A694D91" w14:textId="77777777" w:rsidR="00237227" w:rsidRP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</w:r>
            <w:r w:rsidRPr="00237227">
              <w:rPr>
                <w:highlight w:val="yellow"/>
              </w:rPr>
              <w:t>Definition of additional assistance information for cell selection/reselection</w:t>
            </w:r>
            <w:r w:rsidRPr="00237227">
              <w:t xml:space="preserve"> (e.g. using UE location information, satellite Ephemeris information)</w:t>
            </w:r>
          </w:p>
          <w:p w14:paraId="74374EFA" w14:textId="05C5BE1C" w:rsid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  <w:t>NTN cell specific information in SIB</w:t>
            </w:r>
          </w:p>
        </w:tc>
      </w:tr>
    </w:tbl>
    <w:p w14:paraId="3F7F68C8" w14:textId="57A63CAD" w:rsidR="00F423D5" w:rsidRPr="00237227" w:rsidRDefault="00663380" w:rsidP="00663380">
      <w:pPr>
        <w:spacing w:before="240"/>
        <w:rPr>
          <w:rFonts w:ascii="Arial" w:hAnsi="Arial" w:cs="Arial"/>
        </w:rPr>
      </w:pPr>
      <w:r w:rsidRPr="00237227">
        <w:rPr>
          <w:rFonts w:ascii="Arial" w:hAnsi="Arial" w:cs="Arial"/>
        </w:rPr>
        <w:t>In this contribution</w:t>
      </w:r>
      <w:r w:rsidR="00BA6E35" w:rsidRPr="00237227">
        <w:rPr>
          <w:rFonts w:ascii="Arial" w:hAnsi="Arial" w:cs="Arial"/>
        </w:rPr>
        <w:t xml:space="preserve">, we </w:t>
      </w:r>
      <w:r w:rsidR="00C17443">
        <w:rPr>
          <w:rFonts w:ascii="Arial" w:hAnsi="Arial" w:cs="Arial"/>
        </w:rPr>
        <w:t>discuss</w:t>
      </w:r>
      <w:r w:rsidR="00BA6E35" w:rsidRPr="00237227">
        <w:rPr>
          <w:rFonts w:ascii="Arial" w:hAnsi="Arial" w:cs="Arial"/>
        </w:rPr>
        <w:t xml:space="preserve"> </w:t>
      </w:r>
      <w:r w:rsidR="00C17443">
        <w:rPr>
          <w:rFonts w:ascii="Arial" w:hAnsi="Arial" w:cs="Arial"/>
        </w:rPr>
        <w:t xml:space="preserve">cell re-selection in </w:t>
      </w:r>
      <w:r w:rsidR="002076FD">
        <w:rPr>
          <w:rFonts w:ascii="Arial" w:hAnsi="Arial" w:cs="Arial"/>
        </w:rPr>
        <w:t>IoT</w:t>
      </w:r>
      <w:r w:rsidR="00C17443">
        <w:rPr>
          <w:rFonts w:ascii="Arial" w:hAnsi="Arial" w:cs="Arial"/>
        </w:rPr>
        <w:t>-NTN</w:t>
      </w:r>
      <w:r w:rsidR="006B3B41" w:rsidRPr="00237227">
        <w:rPr>
          <w:rFonts w:ascii="Arial" w:hAnsi="Arial" w:cs="Arial"/>
        </w:rPr>
        <w:t xml:space="preserve">, with minimal impact </w:t>
      </w:r>
      <w:r w:rsidR="000A53FD">
        <w:rPr>
          <w:rFonts w:ascii="Arial" w:hAnsi="Arial" w:cs="Arial"/>
        </w:rPr>
        <w:t>on</w:t>
      </w:r>
      <w:r w:rsidR="006B3B41" w:rsidRPr="00237227">
        <w:rPr>
          <w:rFonts w:ascii="Arial" w:hAnsi="Arial" w:cs="Arial"/>
        </w:rPr>
        <w:t xml:space="preserve"> the specifications and </w:t>
      </w:r>
      <w:r w:rsidR="000A53FD">
        <w:rPr>
          <w:rFonts w:ascii="Arial" w:hAnsi="Arial" w:cs="Arial"/>
        </w:rPr>
        <w:t>point out that UE’s location information processing is not required</w:t>
      </w:r>
      <w:r w:rsidR="006B3B41" w:rsidRPr="00237227">
        <w:rPr>
          <w:rFonts w:ascii="Arial" w:hAnsi="Arial" w:cs="Arial"/>
        </w:rPr>
        <w:t>.</w:t>
      </w:r>
    </w:p>
    <w:p w14:paraId="3AC10C50" w14:textId="14EAB630" w:rsidR="005C149D" w:rsidRPr="005E1EAC" w:rsidRDefault="00291158" w:rsidP="00DF1FD3">
      <w:pPr>
        <w:pStyle w:val="Heading1"/>
        <w:rPr>
          <w:rFonts w:ascii="Times New Roman" w:hAnsi="Times New Roman"/>
          <w:b/>
        </w:rPr>
      </w:pPr>
      <w:r w:rsidRPr="005E1EAC">
        <w:rPr>
          <w:rFonts w:ascii="Times New Roman" w:hAnsi="Times New Roman"/>
          <w:b/>
        </w:rPr>
        <w:t xml:space="preserve">2 </w:t>
      </w:r>
      <w:r w:rsidR="0030648E" w:rsidRPr="005E1EAC">
        <w:rPr>
          <w:rFonts w:ascii="Times New Roman" w:hAnsi="Times New Roman"/>
          <w:b/>
        </w:rPr>
        <w:t>Discussion</w:t>
      </w:r>
    </w:p>
    <w:p w14:paraId="4892F2C6" w14:textId="1780953D" w:rsidR="006C7268" w:rsidRDefault="0048528C" w:rsidP="0048528C">
      <w:pPr>
        <w:pStyle w:val="EQ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initial cell selection </w:t>
      </w:r>
      <w:r w:rsidR="002076FD">
        <w:rPr>
          <w:rFonts w:ascii="Arial" w:hAnsi="Arial" w:cs="Arial"/>
          <w:bCs/>
        </w:rPr>
        <w:t>IoT</w:t>
      </w:r>
      <w:r>
        <w:rPr>
          <w:rFonts w:ascii="Arial" w:hAnsi="Arial" w:cs="Arial"/>
          <w:bCs/>
        </w:rPr>
        <w:t xml:space="preserve">-NTN can use </w:t>
      </w:r>
      <w:r w:rsidR="006C7268">
        <w:rPr>
          <w:rFonts w:ascii="Arial" w:hAnsi="Arial" w:cs="Arial"/>
          <w:bCs/>
        </w:rPr>
        <w:t xml:space="preserve">legacy </w:t>
      </w:r>
      <w:r>
        <w:rPr>
          <w:rFonts w:ascii="Arial" w:hAnsi="Arial" w:cs="Arial"/>
          <w:bCs/>
        </w:rPr>
        <w:t>cell selection criteria</w:t>
      </w:r>
      <w:r w:rsidR="006A6543">
        <w:rPr>
          <w:rFonts w:ascii="Arial" w:hAnsi="Arial" w:cs="Arial"/>
          <w:bCs/>
        </w:rPr>
        <w:t xml:space="preserve">, i.e., </w:t>
      </w:r>
      <w:r w:rsidRPr="0048528C">
        <w:rPr>
          <w:i/>
          <w:lang w:eastAsia="ja-JP"/>
        </w:rPr>
        <w:t>Srxlev &gt; 0 AND Squal &gt; 0</w:t>
      </w:r>
      <w:r>
        <w:rPr>
          <w:rFonts w:ascii="Arial" w:hAnsi="Arial" w:cs="Arial"/>
          <w:bCs/>
        </w:rPr>
        <w:t>, mentioned in Section 5.2.3.2</w:t>
      </w:r>
      <w:r w:rsidR="006C7268">
        <w:rPr>
          <w:rFonts w:ascii="Arial" w:hAnsi="Arial" w:cs="Arial"/>
          <w:bCs/>
        </w:rPr>
        <w:t>/5.2.3.2a</w:t>
      </w:r>
      <w:r>
        <w:rPr>
          <w:rFonts w:ascii="Arial" w:hAnsi="Arial" w:cs="Arial"/>
          <w:bCs/>
        </w:rPr>
        <w:t xml:space="preserve"> of 3GPP TS 3</w:t>
      </w:r>
      <w:r w:rsidR="006C726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.304 [2], where</w:t>
      </w:r>
      <w:r w:rsidR="006C7268">
        <w:rPr>
          <w:rFonts w:ascii="Arial" w:hAnsi="Arial" w:cs="Arial"/>
          <w:bCs/>
        </w:rPr>
        <w:t xml:space="preserve"> </w:t>
      </w:r>
      <w:r w:rsidR="006C7268" w:rsidRPr="0048528C">
        <w:rPr>
          <w:i/>
          <w:lang w:eastAsia="ja-JP"/>
        </w:rPr>
        <w:t xml:space="preserve">Srxlev </w:t>
      </w:r>
      <w:r w:rsidR="006C7268">
        <w:rPr>
          <w:rFonts w:ascii="Arial" w:hAnsi="Arial" w:cs="Arial"/>
          <w:bCs/>
        </w:rPr>
        <w:t xml:space="preserve">and </w:t>
      </w:r>
      <w:r w:rsidR="006C7268" w:rsidRPr="0048528C">
        <w:rPr>
          <w:i/>
          <w:lang w:eastAsia="ja-JP"/>
        </w:rPr>
        <w:t xml:space="preserve">Squal </w:t>
      </w:r>
      <w:r w:rsidR="006C7268">
        <w:rPr>
          <w:rFonts w:ascii="Arial" w:hAnsi="Arial" w:cs="Arial"/>
          <w:bCs/>
        </w:rPr>
        <w:t>are defined as:</w:t>
      </w:r>
    </w:p>
    <w:p w14:paraId="3E0F341E" w14:textId="3AE9FB42" w:rsidR="006C7268" w:rsidRDefault="006C7268" w:rsidP="0048528C">
      <w:pPr>
        <w:pStyle w:val="EQ"/>
        <w:rPr>
          <w:lang w:eastAsia="ja-JP"/>
        </w:rPr>
      </w:pPr>
      <w:r>
        <w:rPr>
          <w:rFonts w:ascii="Arial" w:hAnsi="Arial" w:cs="Arial"/>
          <w:bCs/>
        </w:rPr>
        <w:t>For eMTC:</w:t>
      </w:r>
      <w:r>
        <w:rPr>
          <w:rFonts w:ascii="Arial" w:hAnsi="Arial" w:cs="Arial"/>
          <w:bCs/>
        </w:rPr>
        <w:br/>
      </w:r>
      <w:r w:rsidR="0048528C" w:rsidRPr="0048528C">
        <w:rPr>
          <w:i/>
          <w:lang w:eastAsia="ja-JP"/>
        </w:rPr>
        <w:t>Srxlev = Q</w:t>
      </w:r>
      <w:r w:rsidR="0048528C" w:rsidRPr="0048528C">
        <w:rPr>
          <w:i/>
          <w:vertAlign w:val="subscript"/>
          <w:lang w:eastAsia="ja-JP"/>
        </w:rPr>
        <w:t>rxlevmeas</w:t>
      </w:r>
      <w:r w:rsidR="0048528C" w:rsidRPr="0048528C">
        <w:rPr>
          <w:i/>
          <w:lang w:eastAsia="ja-JP"/>
        </w:rPr>
        <w:t xml:space="preserve"> – (Q</w:t>
      </w:r>
      <w:r w:rsidR="0048528C" w:rsidRPr="0048528C">
        <w:rPr>
          <w:i/>
          <w:vertAlign w:val="subscript"/>
          <w:lang w:eastAsia="ja-JP"/>
        </w:rPr>
        <w:t>rxlevmin</w:t>
      </w:r>
      <w:r w:rsidR="0048528C" w:rsidRPr="0048528C">
        <w:rPr>
          <w:i/>
          <w:lang w:eastAsia="ja-JP"/>
        </w:rPr>
        <w:t xml:space="preserve"> + Q</w:t>
      </w:r>
      <w:r w:rsidR="0048528C" w:rsidRPr="0048528C">
        <w:rPr>
          <w:i/>
          <w:vertAlign w:val="subscript"/>
          <w:lang w:eastAsia="ja-JP"/>
        </w:rPr>
        <w:t>rxlevminoffset</w:t>
      </w:r>
      <w:r w:rsidR="0048528C" w:rsidRPr="0048528C">
        <w:rPr>
          <w:i/>
          <w:lang w:eastAsia="ja-JP"/>
        </w:rPr>
        <w:t xml:space="preserve"> )– P</w:t>
      </w:r>
      <w:r w:rsidR="0048528C" w:rsidRPr="0048528C">
        <w:rPr>
          <w:i/>
          <w:vertAlign w:val="subscript"/>
          <w:lang w:eastAsia="ja-JP"/>
        </w:rPr>
        <w:t xml:space="preserve">compensation </w:t>
      </w:r>
      <w:r w:rsidR="0048528C" w:rsidRPr="0048528C">
        <w:rPr>
          <w:i/>
          <w:lang w:eastAsia="ja-JP"/>
        </w:rPr>
        <w:t xml:space="preserve">- </w:t>
      </w:r>
      <w:r w:rsidR="0048528C" w:rsidRPr="0048528C">
        <w:rPr>
          <w:bCs/>
          <w:i/>
        </w:rPr>
        <w:t>Qoffset</w:t>
      </w:r>
      <w:r w:rsidR="0048528C" w:rsidRPr="0048528C">
        <w:rPr>
          <w:bCs/>
          <w:i/>
          <w:vertAlign w:val="subscript"/>
        </w:rPr>
        <w:t>temp</w:t>
      </w:r>
      <w:r w:rsidR="0048528C">
        <w:rPr>
          <w:bCs/>
          <w:vertAlign w:val="subscript"/>
        </w:rPr>
        <w:t xml:space="preserve">  </w:t>
      </w:r>
      <w:r w:rsidR="0048528C">
        <w:rPr>
          <w:lang w:eastAsia="ja-JP"/>
        </w:rPr>
        <w:t xml:space="preserve">and </w:t>
      </w:r>
    </w:p>
    <w:p w14:paraId="7BD16E64" w14:textId="684F44D4" w:rsidR="0048528C" w:rsidRPr="006A6543" w:rsidRDefault="0048528C" w:rsidP="0048528C">
      <w:pPr>
        <w:pStyle w:val="EQ"/>
        <w:rPr>
          <w:rFonts w:ascii="Arial" w:hAnsi="Arial" w:cs="Arial"/>
          <w:bCs/>
        </w:rPr>
      </w:pPr>
      <w:r w:rsidRPr="0048528C">
        <w:rPr>
          <w:i/>
          <w:lang w:eastAsia="ja-JP"/>
        </w:rPr>
        <w:t>Squal = Q</w:t>
      </w:r>
      <w:r w:rsidRPr="0048528C">
        <w:rPr>
          <w:i/>
          <w:vertAlign w:val="subscript"/>
          <w:lang w:eastAsia="ja-JP"/>
        </w:rPr>
        <w:t>qualmeas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qualmin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qualminoffset</w:t>
      </w:r>
      <w:r w:rsidRPr="0048528C">
        <w:rPr>
          <w:i/>
          <w:lang w:eastAsia="ja-JP"/>
        </w:rPr>
        <w:t xml:space="preserve">) 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i/>
          <w:vertAlign w:val="subscript"/>
        </w:rPr>
        <w:t>.</w:t>
      </w:r>
    </w:p>
    <w:p w14:paraId="127888C7" w14:textId="77777777" w:rsidR="006C7268" w:rsidRDefault="006C7268" w:rsidP="009C66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NB-IoT:</w:t>
      </w:r>
    </w:p>
    <w:p w14:paraId="5D098947" w14:textId="77777777" w:rsidR="006C7268" w:rsidRPr="00D03E1F" w:rsidRDefault="006C7268" w:rsidP="006C7268">
      <w:pPr>
        <w:rPr>
          <w:rFonts w:eastAsia="Malgun Gothic"/>
          <w:i/>
          <w:noProof/>
          <w:lang w:eastAsia="ja-JP"/>
        </w:rPr>
      </w:pPr>
      <w:r w:rsidRPr="00D03E1F">
        <w:rPr>
          <w:rFonts w:eastAsia="Malgun Gothic"/>
          <w:i/>
          <w:noProof/>
          <w:lang w:eastAsia="ja-JP"/>
        </w:rPr>
        <w:t>Srxlev = Q</w:t>
      </w:r>
      <w:r w:rsidRPr="00D03E1F">
        <w:rPr>
          <w:rFonts w:eastAsia="Malgun Gothic"/>
          <w:i/>
          <w:noProof/>
          <w:vertAlign w:val="subscript"/>
          <w:lang w:eastAsia="ja-JP"/>
        </w:rPr>
        <w:t>rxlevmeas</w:t>
      </w:r>
      <w:r w:rsidRPr="00D03E1F">
        <w:rPr>
          <w:rFonts w:eastAsia="Malgun Gothic"/>
          <w:i/>
          <w:noProof/>
          <w:lang w:eastAsia="ja-JP"/>
        </w:rPr>
        <w:t xml:space="preserve"> – Q</w:t>
      </w:r>
      <w:r w:rsidRPr="00D03E1F">
        <w:rPr>
          <w:rFonts w:eastAsia="Malgun Gothic"/>
          <w:i/>
          <w:noProof/>
          <w:vertAlign w:val="subscript"/>
          <w:lang w:eastAsia="ja-JP"/>
        </w:rPr>
        <w:t>rxlevmin</w:t>
      </w:r>
      <w:r w:rsidRPr="00D03E1F">
        <w:rPr>
          <w:rFonts w:eastAsia="Malgun Gothic"/>
          <w:i/>
          <w:noProof/>
          <w:lang w:eastAsia="ja-JP"/>
        </w:rPr>
        <w:t xml:space="preserve"> – Pcompensation - Qoffset</w:t>
      </w:r>
      <w:r w:rsidRPr="00D03E1F">
        <w:rPr>
          <w:rFonts w:eastAsia="Malgun Gothic"/>
          <w:i/>
          <w:noProof/>
          <w:vertAlign w:val="subscript"/>
          <w:lang w:eastAsia="ja-JP"/>
        </w:rPr>
        <w:t>temp</w:t>
      </w:r>
    </w:p>
    <w:p w14:paraId="73CC9A75" w14:textId="1DB13BFC" w:rsidR="006C7268" w:rsidRPr="00D03E1F" w:rsidRDefault="006C7268" w:rsidP="006C7268">
      <w:pPr>
        <w:rPr>
          <w:rFonts w:eastAsia="Malgun Gothic"/>
          <w:i/>
          <w:noProof/>
          <w:vertAlign w:val="subscript"/>
          <w:lang w:eastAsia="ja-JP"/>
        </w:rPr>
      </w:pPr>
      <w:r w:rsidRPr="00D03E1F">
        <w:rPr>
          <w:rFonts w:eastAsia="Malgun Gothic"/>
          <w:i/>
          <w:noProof/>
          <w:lang w:eastAsia="ja-JP"/>
        </w:rPr>
        <w:t>Squal = Q</w:t>
      </w:r>
      <w:r w:rsidRPr="00D03E1F">
        <w:rPr>
          <w:rFonts w:eastAsia="Malgun Gothic"/>
          <w:i/>
          <w:noProof/>
          <w:vertAlign w:val="subscript"/>
          <w:lang w:eastAsia="ja-JP"/>
        </w:rPr>
        <w:t>qualmeas</w:t>
      </w:r>
      <w:r w:rsidRPr="00D03E1F">
        <w:rPr>
          <w:rFonts w:eastAsia="Malgun Gothic"/>
          <w:i/>
          <w:noProof/>
          <w:lang w:eastAsia="ja-JP"/>
        </w:rPr>
        <w:t xml:space="preserve"> – Q</w:t>
      </w:r>
      <w:r w:rsidRPr="00D03E1F">
        <w:rPr>
          <w:rFonts w:eastAsia="Malgun Gothic"/>
          <w:i/>
          <w:noProof/>
          <w:vertAlign w:val="subscript"/>
          <w:lang w:eastAsia="ja-JP"/>
        </w:rPr>
        <w:t>qualmin</w:t>
      </w:r>
      <w:r w:rsidRPr="00D03E1F">
        <w:rPr>
          <w:rFonts w:eastAsia="Malgun Gothic"/>
          <w:i/>
          <w:noProof/>
          <w:lang w:eastAsia="ja-JP"/>
        </w:rPr>
        <w:t xml:space="preserve"> </w:t>
      </w:r>
      <w:r>
        <w:rPr>
          <w:rFonts w:eastAsia="Malgun Gothic"/>
          <w:i/>
          <w:noProof/>
          <w:lang w:eastAsia="ja-JP"/>
        </w:rPr>
        <w:t>–</w:t>
      </w:r>
      <w:r w:rsidRPr="00D03E1F">
        <w:rPr>
          <w:rFonts w:eastAsia="Malgun Gothic"/>
          <w:i/>
          <w:noProof/>
          <w:lang w:eastAsia="ja-JP"/>
        </w:rPr>
        <w:t xml:space="preserve"> Qoffset</w:t>
      </w:r>
      <w:r w:rsidRPr="00D03E1F">
        <w:rPr>
          <w:rFonts w:eastAsia="Malgun Gothic"/>
          <w:i/>
          <w:noProof/>
          <w:vertAlign w:val="subscript"/>
          <w:lang w:eastAsia="ja-JP"/>
        </w:rPr>
        <w:t>temp</w:t>
      </w:r>
    </w:p>
    <w:p w14:paraId="5DBF8D3A" w14:textId="3D58F25C" w:rsidR="009C667F" w:rsidRDefault="009C667F" w:rsidP="009C66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intra-frequency cell re-selection, </w:t>
      </w:r>
      <w:r w:rsidR="00C45955">
        <w:rPr>
          <w:rFonts w:ascii="Arial" w:hAnsi="Arial" w:cs="Arial"/>
          <w:bCs/>
        </w:rPr>
        <w:t>as mentioned in Section 5.2.4.2</w:t>
      </w:r>
      <w:r w:rsidR="006C7268">
        <w:rPr>
          <w:rFonts w:ascii="Arial" w:hAnsi="Arial" w:cs="Arial"/>
          <w:bCs/>
        </w:rPr>
        <w:t>/5.2.4.2a</w:t>
      </w:r>
      <w:r w:rsidR="00C45955">
        <w:rPr>
          <w:rFonts w:ascii="Arial" w:hAnsi="Arial" w:cs="Arial"/>
          <w:bCs/>
        </w:rPr>
        <w:t xml:space="preserve"> of 3GPP TS 3</w:t>
      </w:r>
      <w:r w:rsidR="006C7268">
        <w:rPr>
          <w:rFonts w:ascii="Arial" w:hAnsi="Arial" w:cs="Arial"/>
          <w:bCs/>
        </w:rPr>
        <w:t>6</w:t>
      </w:r>
      <w:r w:rsidR="00C45955">
        <w:rPr>
          <w:rFonts w:ascii="Arial" w:hAnsi="Arial" w:cs="Arial"/>
          <w:bCs/>
        </w:rPr>
        <w:t xml:space="preserve">.304 [2], </w:t>
      </w:r>
      <w:r>
        <w:rPr>
          <w:rFonts w:ascii="Arial" w:hAnsi="Arial" w:cs="Arial"/>
          <w:bCs/>
        </w:rPr>
        <w:t>i</w:t>
      </w:r>
      <w:r w:rsidRPr="009C667F">
        <w:rPr>
          <w:rFonts w:ascii="Arial" w:hAnsi="Arial" w:cs="Arial"/>
          <w:bCs/>
        </w:rPr>
        <w:t xml:space="preserve">f the serving cell fulfils </w:t>
      </w:r>
      <w:r w:rsidRPr="009C667F">
        <w:rPr>
          <w:rFonts w:ascii="Arial" w:hAnsi="Arial" w:cs="Arial"/>
          <w:bCs/>
          <w:i/>
        </w:rPr>
        <w:t>Srxlev &gt; 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 w:rsidRPr="009C667F">
        <w:rPr>
          <w:rFonts w:ascii="Arial" w:hAnsi="Arial" w:cs="Arial"/>
          <w:bCs/>
        </w:rPr>
        <w:t xml:space="preserve"> and </w:t>
      </w:r>
      <w:r w:rsidRPr="009C667F">
        <w:rPr>
          <w:rFonts w:ascii="Arial" w:hAnsi="Arial" w:cs="Arial"/>
          <w:bCs/>
          <w:i/>
        </w:rPr>
        <w:t>Squal &gt; 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 w:rsidRPr="009C667F">
        <w:rPr>
          <w:rFonts w:ascii="Arial" w:hAnsi="Arial" w:cs="Arial"/>
          <w:bCs/>
        </w:rPr>
        <w:t>, the UE may choose not to perfo</w:t>
      </w:r>
      <w:r>
        <w:rPr>
          <w:rFonts w:ascii="Arial" w:hAnsi="Arial" w:cs="Arial"/>
          <w:bCs/>
        </w:rPr>
        <w:t>rm intra-frequency measurements, o</w:t>
      </w:r>
      <w:r w:rsidRPr="009C667F">
        <w:rPr>
          <w:rFonts w:ascii="Arial" w:hAnsi="Arial" w:cs="Arial"/>
          <w:bCs/>
        </w:rPr>
        <w:t>therwise, the UE shall perform intra-frequency measurements.</w:t>
      </w:r>
      <w:r>
        <w:rPr>
          <w:rFonts w:ascii="Arial" w:hAnsi="Arial" w:cs="Arial"/>
          <w:bCs/>
        </w:rPr>
        <w:t xml:space="preserve"> Hence, by suitably adjusting the values of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>
        <w:rPr>
          <w:rFonts w:ascii="Arial" w:hAnsi="Arial" w:cs="Arial"/>
          <w:bCs/>
          <w:i/>
          <w:vertAlign w:val="subscript"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>
        <w:rPr>
          <w:rFonts w:ascii="Arial" w:hAnsi="Arial" w:cs="Arial"/>
          <w:bCs/>
        </w:rPr>
        <w:t xml:space="preserve"> the </w:t>
      </w:r>
      <w:r w:rsidR="00313757">
        <w:rPr>
          <w:rFonts w:ascii="Arial" w:hAnsi="Arial" w:cs="Arial"/>
          <w:bCs/>
        </w:rPr>
        <w:t>network can control when the individual</w:t>
      </w:r>
      <w:r>
        <w:rPr>
          <w:rFonts w:ascii="Arial" w:hAnsi="Arial" w:cs="Arial"/>
          <w:bCs/>
        </w:rPr>
        <w:t xml:space="preserve"> UE’s </w:t>
      </w:r>
      <w:r w:rsidR="00313757">
        <w:rPr>
          <w:rFonts w:ascii="Arial" w:hAnsi="Arial" w:cs="Arial"/>
          <w:bCs/>
        </w:rPr>
        <w:t>will start</w:t>
      </w:r>
      <w:r>
        <w:rPr>
          <w:rFonts w:ascii="Arial" w:hAnsi="Arial" w:cs="Arial"/>
          <w:bCs/>
        </w:rPr>
        <w:t xml:space="preserve"> searching</w:t>
      </w:r>
      <w:r w:rsidR="00313757">
        <w:rPr>
          <w:rFonts w:ascii="Arial" w:hAnsi="Arial" w:cs="Arial"/>
          <w:bCs/>
        </w:rPr>
        <w:t xml:space="preserve"> the neighbour cells</w:t>
      </w:r>
      <w:r>
        <w:rPr>
          <w:rFonts w:ascii="Arial" w:hAnsi="Arial" w:cs="Arial"/>
          <w:bCs/>
        </w:rPr>
        <w:t xml:space="preserve">.  </w:t>
      </w:r>
    </w:p>
    <w:p w14:paraId="6794C79F" w14:textId="77777777" w:rsidR="002E6217" w:rsidRPr="002E6217" w:rsidRDefault="002E6217" w:rsidP="009C667F">
      <w:pPr>
        <w:rPr>
          <w:rFonts w:ascii="Arial" w:hAnsi="Arial" w:cs="Arial"/>
          <w:bCs/>
          <w:sz w:val="2"/>
        </w:rPr>
      </w:pPr>
    </w:p>
    <w:p w14:paraId="35A6DC61" w14:textId="4529CB63" w:rsidR="00E2604C" w:rsidRDefault="00E2604C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lastRenderedPageBreak/>
        <w:drawing>
          <wp:inline distT="0" distB="0" distL="0" distR="0" wp14:anchorId="129C79E7" wp14:editId="0D9094D7">
            <wp:extent cx="2504514" cy="16090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943" cy="16659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</w:rPr>
        <w:t xml:space="preserve">       </w:t>
      </w:r>
      <w:r w:rsidR="00741A49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6F044D04" wp14:editId="61DA1CD6">
            <wp:extent cx="2503898" cy="15919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231" cy="1613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2DC538" w14:textId="59B9BA38" w:rsidR="00E2604C" w:rsidRPr="00E2604C" w:rsidRDefault="00E2604C" w:rsidP="00741A49">
      <w:pPr>
        <w:pStyle w:val="Caption"/>
        <w:jc w:val="left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 w:rsidRPr="00E2604C">
        <w:rPr>
          <w:b w:val="0"/>
          <w:noProof/>
        </w:rPr>
        <w:t>1</w:t>
      </w:r>
      <w:r w:rsidRPr="00E2604C">
        <w:rPr>
          <w:b w:val="0"/>
        </w:rPr>
        <w:fldChar w:fldCharType="end"/>
      </w:r>
      <w:r>
        <w:rPr>
          <w:b w:val="0"/>
        </w:rPr>
        <w:t>(a)</w:t>
      </w:r>
      <w:r w:rsidRPr="00E2604C">
        <w:rPr>
          <w:b w:val="0"/>
        </w:rPr>
        <w:t xml:space="preserve">: RSRP </w:t>
      </w:r>
      <w:r w:rsidR="00741A49">
        <w:rPr>
          <w:b w:val="0"/>
        </w:rPr>
        <w:t>variation</w:t>
      </w:r>
      <w:r w:rsidRPr="00E2604C">
        <w:rPr>
          <w:b w:val="0"/>
        </w:rPr>
        <w:t xml:space="preserve">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>in TN</w:t>
      </w:r>
      <w:r>
        <w:rPr>
          <w:b w:val="0"/>
        </w:rPr>
        <w:t xml:space="preserve"> cell</w:t>
      </w:r>
      <w:r w:rsidRPr="00E2604C">
        <w:rPr>
          <w:b w:val="0"/>
        </w:rPr>
        <w:t xml:space="preserve"> </w:t>
      </w:r>
      <w:r>
        <w:rPr>
          <w:b w:val="0"/>
        </w:rPr>
        <w:t xml:space="preserve"> </w:t>
      </w:r>
      <w:r w:rsidR="00741A49">
        <w:rPr>
          <w:b w:val="0"/>
        </w:rPr>
        <w:t xml:space="preserve">  Figure 1</w:t>
      </w:r>
      <w:r>
        <w:rPr>
          <w:b w:val="0"/>
        </w:rPr>
        <w:t>(b)</w:t>
      </w:r>
      <w:r w:rsidR="00741A49">
        <w:rPr>
          <w:b w:val="0"/>
        </w:rPr>
        <w:t>:</w:t>
      </w:r>
      <w:r>
        <w:rPr>
          <w:b w:val="0"/>
        </w:rPr>
        <w:t xml:space="preserve"> </w:t>
      </w:r>
      <w:r w:rsidR="00741A49">
        <w:rPr>
          <w:b w:val="0"/>
        </w:rPr>
        <w:t>RSRP v</w:t>
      </w:r>
      <w:r w:rsidRPr="00E2604C">
        <w:rPr>
          <w:b w:val="0"/>
        </w:rPr>
        <w:t xml:space="preserve">ariation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 xml:space="preserve">in </w:t>
      </w:r>
      <w:r w:rsidR="00741A49">
        <w:rPr>
          <w:b w:val="0"/>
        </w:rPr>
        <w:t>N</w:t>
      </w:r>
      <w:r w:rsidRPr="00E2604C">
        <w:rPr>
          <w:b w:val="0"/>
        </w:rPr>
        <w:t>TN</w:t>
      </w:r>
      <w:r>
        <w:rPr>
          <w:b w:val="0"/>
        </w:rPr>
        <w:t xml:space="preserve"> cell</w:t>
      </w:r>
    </w:p>
    <w:p w14:paraId="6DB95135" w14:textId="3B18F0BB" w:rsidR="00FD43A4" w:rsidRDefault="00741A49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Figure 1(a) shows simulation results in terrestrial networks (TN)</w:t>
      </w:r>
      <w:r w:rsidRPr="00741A4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with a </w:t>
      </w:r>
      <w:r w:rsidRPr="00741A49">
        <w:rPr>
          <w:rFonts w:ascii="Arial" w:hAnsi="Arial" w:cs="Arial"/>
          <w:bCs/>
        </w:rPr>
        <w:t xml:space="preserve">UE moving along the x axis and cells -1, 0 and 1 are located </w:t>
      </w:r>
      <w:r>
        <w:rPr>
          <w:rFonts w:ascii="Arial" w:hAnsi="Arial" w:cs="Arial"/>
          <w:bCs/>
        </w:rPr>
        <w:t>along</w:t>
      </w:r>
      <w:r w:rsidRPr="00741A49">
        <w:rPr>
          <w:rFonts w:ascii="Arial" w:hAnsi="Arial" w:cs="Arial"/>
          <w:bCs/>
        </w:rPr>
        <w:t xml:space="preserve"> the x-axis at positions -2.5km, 0km and 2.5km respectively.</w:t>
      </w:r>
      <w:r w:rsidR="00B27DB7">
        <w:rPr>
          <w:rFonts w:ascii="Arial" w:hAnsi="Arial" w:cs="Arial"/>
          <w:bCs/>
        </w:rPr>
        <w:t xml:space="preserve"> Figure 1(b), on the other hand, demonstrates simulation results in an NTN network, with the UE located in the centre of the Satellite trajectory and</w:t>
      </w:r>
      <w:r w:rsidR="00B27DB7" w:rsidRPr="00B27DB7">
        <w:rPr>
          <w:rFonts w:ascii="Arial" w:hAnsi="Arial" w:cs="Arial"/>
          <w:bCs/>
        </w:rPr>
        <w:t xml:space="preserve"> the cells</w:t>
      </w:r>
      <w:r w:rsidR="00B27DB7">
        <w:rPr>
          <w:rFonts w:ascii="Arial" w:hAnsi="Arial" w:cs="Arial"/>
          <w:bCs/>
        </w:rPr>
        <w:t xml:space="preserve"> </w:t>
      </w:r>
      <w:r w:rsidR="00B27DB7" w:rsidRPr="00B27DB7">
        <w:rPr>
          <w:rFonts w:ascii="Arial" w:hAnsi="Arial" w:cs="Arial"/>
          <w:bCs/>
        </w:rPr>
        <w:t>(beam</w:t>
      </w:r>
      <w:r w:rsidR="00B31690">
        <w:rPr>
          <w:rFonts w:ascii="Arial" w:hAnsi="Arial" w:cs="Arial"/>
          <w:bCs/>
        </w:rPr>
        <w:t>-</w:t>
      </w:r>
      <w:r w:rsidR="00B27DB7" w:rsidRPr="00B27DB7">
        <w:rPr>
          <w:rFonts w:ascii="Arial" w:hAnsi="Arial" w:cs="Arial"/>
          <w:bCs/>
        </w:rPr>
        <w:t>s</w:t>
      </w:r>
      <w:r w:rsidR="00B27DB7">
        <w:rPr>
          <w:rFonts w:ascii="Arial" w:hAnsi="Arial" w:cs="Arial"/>
          <w:bCs/>
        </w:rPr>
        <w:t>pots</w:t>
      </w:r>
      <w:r w:rsidR="00B27DB7" w:rsidRPr="00B27DB7">
        <w:rPr>
          <w:rFonts w:ascii="Arial" w:hAnsi="Arial" w:cs="Arial"/>
          <w:bCs/>
        </w:rPr>
        <w:t>) -1, 0 and 1 located at angles -</w:t>
      </w:r>
      <w:r w:rsidR="00B27DB7">
        <w:rPr>
          <w:rFonts w:ascii="Arial" w:hAnsi="Arial" w:cs="Arial"/>
          <w:bCs/>
        </w:rPr>
        <w:t>5, 0 and 5 degrees respectively.</w:t>
      </w:r>
      <w:r w:rsidR="00D05F41">
        <w:rPr>
          <w:rFonts w:ascii="Arial" w:hAnsi="Arial" w:cs="Arial"/>
          <w:bCs/>
        </w:rPr>
        <w:t xml:space="preserve"> The </w:t>
      </w:r>
      <w:r w:rsidR="00D05F41" w:rsidRPr="00D05F41">
        <w:rPr>
          <w:rFonts w:ascii="Arial" w:hAnsi="Arial" w:cs="Arial"/>
          <w:bCs/>
        </w:rPr>
        <w:t>relative difference of RSRP between the strongest cell (beam) and the next strongest for each of TN/NTN cases</w:t>
      </w:r>
      <w:r w:rsidR="00D05F41">
        <w:rPr>
          <w:rFonts w:ascii="Arial" w:hAnsi="Arial" w:cs="Arial"/>
          <w:bCs/>
        </w:rPr>
        <w:t xml:space="preserve"> is compared below in Figure 2.</w:t>
      </w:r>
    </w:p>
    <w:p w14:paraId="7615A71C" w14:textId="0A67D870" w:rsidR="00E2604C" w:rsidRDefault="00FD43A4" w:rsidP="00D05F41">
      <w:pPr>
        <w:jc w:val="center"/>
        <w:rPr>
          <w:rFonts w:ascii="Arial" w:hAnsi="Arial" w:cs="Arial"/>
          <w:bCs/>
        </w:rPr>
      </w:pPr>
      <w:r>
        <w:rPr>
          <w:noProof/>
          <w:lang w:val="en-US"/>
        </w:rPr>
        <w:drawing>
          <wp:inline distT="0" distB="0" distL="0" distR="0" wp14:anchorId="1F0573FB" wp14:editId="16BEBA62">
            <wp:extent cx="2620851" cy="1900550"/>
            <wp:effectExtent l="0" t="0" r="8255" b="5080"/>
            <wp:docPr id="3" name="Picture 3" descr="cid:image008.jpg@01D68C1D.79D2B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8.jpg@01D68C1D.79D2B2C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660" cy="1918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2A112" w14:textId="10418B3B" w:rsidR="00D05F41" w:rsidRPr="00E2604C" w:rsidRDefault="00D05F41" w:rsidP="00D05F41">
      <w:pPr>
        <w:pStyle w:val="Caption"/>
        <w:jc w:val="center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>
        <w:rPr>
          <w:b w:val="0"/>
          <w:noProof/>
        </w:rPr>
        <w:t>2</w:t>
      </w:r>
      <w:r w:rsidRPr="00E2604C">
        <w:rPr>
          <w:b w:val="0"/>
        </w:rPr>
        <w:fldChar w:fldCharType="end"/>
      </w:r>
      <w:r w:rsidRPr="00E2604C">
        <w:rPr>
          <w:b w:val="0"/>
        </w:rPr>
        <w:t xml:space="preserve">: </w:t>
      </w:r>
      <w:r>
        <w:rPr>
          <w:b w:val="0"/>
        </w:rPr>
        <w:t>Comparative RSRP Dynamics with mobility in TN and NTN</w:t>
      </w:r>
    </w:p>
    <w:p w14:paraId="37B8E551" w14:textId="77777777" w:rsidR="00E2604C" w:rsidRDefault="00E2604C" w:rsidP="00237227">
      <w:pPr>
        <w:rPr>
          <w:rFonts w:ascii="Arial" w:hAnsi="Arial" w:cs="Arial"/>
          <w:bCs/>
        </w:rPr>
      </w:pPr>
    </w:p>
    <w:p w14:paraId="7052F333" w14:textId="05DB3AFE" w:rsidR="006229C4" w:rsidRDefault="00D05F41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close look into Figure 2 reveals that although </w:t>
      </w:r>
      <w:r w:rsidRPr="00D05F41">
        <w:rPr>
          <w:rFonts w:ascii="Arial" w:hAnsi="Arial" w:cs="Arial"/>
          <w:bCs/>
        </w:rPr>
        <w:t>the RSRP difference changes faster</w:t>
      </w:r>
      <w:r>
        <w:rPr>
          <w:rFonts w:ascii="Arial" w:hAnsi="Arial" w:cs="Arial"/>
          <w:bCs/>
        </w:rPr>
        <w:t xml:space="preserve"> in TN</w:t>
      </w:r>
      <w:r w:rsidRPr="00D05F4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for most of the </w:t>
      </w:r>
      <w:r w:rsidRPr="00D05F41">
        <w:rPr>
          <w:rFonts w:ascii="Arial" w:hAnsi="Arial" w:cs="Arial"/>
          <w:bCs/>
        </w:rPr>
        <w:t xml:space="preserve">cell areas </w:t>
      </w:r>
      <w:r>
        <w:rPr>
          <w:rFonts w:ascii="Arial" w:hAnsi="Arial" w:cs="Arial"/>
          <w:bCs/>
        </w:rPr>
        <w:t xml:space="preserve">(almost </w:t>
      </w:r>
      <w:r w:rsidR="00313757">
        <w:rPr>
          <w:rFonts w:ascii="Arial" w:hAnsi="Arial" w:cs="Arial"/>
          <w:bCs/>
        </w:rPr>
        <w:t xml:space="preserve">~ 64%), </w:t>
      </w:r>
      <w:r w:rsidRPr="00D05F41">
        <w:rPr>
          <w:rFonts w:ascii="Arial" w:hAnsi="Arial" w:cs="Arial"/>
          <w:bCs/>
        </w:rPr>
        <w:t>the differen</w:t>
      </w:r>
      <w:r>
        <w:rPr>
          <w:rFonts w:ascii="Arial" w:hAnsi="Arial" w:cs="Arial"/>
          <w:bCs/>
        </w:rPr>
        <w:t>ce</w:t>
      </w:r>
      <w:r w:rsidRPr="00D05F41">
        <w:rPr>
          <w:rFonts w:ascii="Arial" w:hAnsi="Arial" w:cs="Arial"/>
          <w:bCs/>
        </w:rPr>
        <w:t xml:space="preserve"> between TN and NTN is only </w:t>
      </w:r>
      <w:r>
        <w:rPr>
          <w:rFonts w:ascii="Arial" w:hAnsi="Arial" w:cs="Arial"/>
          <w:bCs/>
        </w:rPr>
        <w:t>around 1.8dB</w:t>
      </w:r>
      <w:r w:rsidRPr="00D05F4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313757">
        <w:rPr>
          <w:rFonts w:ascii="Arial" w:hAnsi="Arial" w:cs="Arial"/>
          <w:bCs/>
        </w:rPr>
        <w:t xml:space="preserve">The deviation is primarily evident at the cell centre where re-selection is not expected to take place. </w:t>
      </w:r>
      <w:r>
        <w:rPr>
          <w:rFonts w:ascii="Arial" w:hAnsi="Arial" w:cs="Arial"/>
          <w:bCs/>
        </w:rPr>
        <w:t xml:space="preserve">Thus, R16-based initial cell selection and intra frequency measurements could be reused in </w:t>
      </w:r>
      <w:r w:rsidR="007627F5">
        <w:rPr>
          <w:rFonts w:ascii="Arial" w:hAnsi="Arial" w:cs="Arial"/>
          <w:bCs/>
        </w:rPr>
        <w:t>IoT</w:t>
      </w:r>
      <w:r>
        <w:rPr>
          <w:rFonts w:ascii="Arial" w:hAnsi="Arial" w:cs="Arial"/>
          <w:bCs/>
        </w:rPr>
        <w:t>-NTN.</w:t>
      </w:r>
    </w:p>
    <w:p w14:paraId="022E7B91" w14:textId="2860B940" w:rsidR="00CB1818" w:rsidRDefault="00CB1818" w:rsidP="00D05F41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</w:t>
      </w:r>
      <w:r w:rsidR="00DE7CA8">
        <w:rPr>
          <w:rFonts w:ascii="Arial" w:eastAsia="MS Mincho" w:hAnsi="Arial"/>
          <w:b/>
        </w:rPr>
        <w:t>For most of the cell areas</w:t>
      </w:r>
      <w:r>
        <w:rPr>
          <w:rFonts w:ascii="Arial" w:eastAsia="MS Mincho" w:hAnsi="Arial"/>
          <w:b/>
        </w:rPr>
        <w:t xml:space="preserve"> </w:t>
      </w:r>
      <w:r w:rsidR="00DE7CA8">
        <w:rPr>
          <w:rFonts w:ascii="Arial" w:eastAsia="MS Mincho" w:hAnsi="Arial"/>
          <w:b/>
        </w:rPr>
        <w:t>t</w:t>
      </w:r>
      <w:r>
        <w:rPr>
          <w:rFonts w:ascii="Arial" w:eastAsia="MS Mincho" w:hAnsi="Arial"/>
          <w:b/>
        </w:rPr>
        <w:t>he difference in RSRP changes between TN and NTN</w:t>
      </w:r>
      <w:r w:rsidR="00DE7CA8">
        <w:rPr>
          <w:rFonts w:ascii="Arial" w:eastAsia="MS Mincho" w:hAnsi="Arial"/>
          <w:b/>
        </w:rPr>
        <w:t xml:space="preserve"> is not much. </w:t>
      </w:r>
    </w:p>
    <w:p w14:paraId="278EC556" w14:textId="18569608" w:rsidR="00D05F41" w:rsidRDefault="00D05F41" w:rsidP="00D05F41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</w:t>
      </w:r>
      <w:r w:rsidR="006C7268">
        <w:rPr>
          <w:rFonts w:ascii="Arial" w:eastAsia="MS Mincho" w:hAnsi="Arial"/>
          <w:b/>
        </w:rPr>
        <w:t xml:space="preserve">Legacy eMTC and NB-IoT </w:t>
      </w:r>
      <w:r>
        <w:rPr>
          <w:rFonts w:ascii="Arial" w:eastAsia="MS Mincho" w:hAnsi="Arial"/>
          <w:b/>
        </w:rPr>
        <w:t xml:space="preserve">cell selection </w:t>
      </w:r>
      <w:r w:rsidR="00023FB8">
        <w:rPr>
          <w:rFonts w:ascii="Arial" w:eastAsia="MS Mincho" w:hAnsi="Arial"/>
          <w:b/>
        </w:rPr>
        <w:t xml:space="preserve">procedures </w:t>
      </w:r>
      <w:r>
        <w:rPr>
          <w:rFonts w:ascii="Arial" w:eastAsia="MS Mincho" w:hAnsi="Arial"/>
          <w:b/>
        </w:rPr>
        <w:t xml:space="preserve">and intra frequency measurements could be reused in </w:t>
      </w:r>
      <w:r w:rsidR="00BB0596">
        <w:rPr>
          <w:rFonts w:ascii="Arial" w:eastAsia="MS Mincho" w:hAnsi="Arial"/>
          <w:b/>
        </w:rPr>
        <w:t>IoT</w:t>
      </w:r>
      <w:r>
        <w:rPr>
          <w:rFonts w:ascii="Arial" w:eastAsia="MS Mincho" w:hAnsi="Arial"/>
          <w:b/>
        </w:rPr>
        <w:t xml:space="preserve">-NTN. </w:t>
      </w:r>
    </w:p>
    <w:p w14:paraId="30792055" w14:textId="723F52AF" w:rsidR="00A6696B" w:rsidRPr="00FE4E01" w:rsidRDefault="005B43A2" w:rsidP="00237227">
      <w:pPr>
        <w:rPr>
          <w:vertAlign w:val="subscript"/>
          <w:lang w:eastAsia="ja-JP"/>
        </w:rPr>
      </w:pPr>
      <w:r>
        <w:rPr>
          <w:rFonts w:ascii="Arial" w:hAnsi="Arial" w:cs="Arial"/>
          <w:bCs/>
        </w:rPr>
        <w:t>It is expected that TN and NTN systems will operate at different frequencies. Hence, priority based inter-frequency cell reselection</w:t>
      </w:r>
      <w:r w:rsidR="007E1A19">
        <w:rPr>
          <w:rFonts w:ascii="Arial" w:hAnsi="Arial" w:cs="Arial"/>
          <w:bCs/>
        </w:rPr>
        <w:t>, as mentioned in Section 5.2.4.5 of 3GPP 3</w:t>
      </w:r>
      <w:r w:rsidR="006C7268">
        <w:rPr>
          <w:rFonts w:ascii="Arial" w:hAnsi="Arial" w:cs="Arial"/>
          <w:bCs/>
        </w:rPr>
        <w:t>6</w:t>
      </w:r>
      <w:r w:rsidR="007E1A19">
        <w:rPr>
          <w:rFonts w:ascii="Arial" w:hAnsi="Arial" w:cs="Arial"/>
          <w:bCs/>
        </w:rPr>
        <w:t>.304</w:t>
      </w:r>
      <w:r>
        <w:rPr>
          <w:rFonts w:ascii="Arial" w:hAnsi="Arial" w:cs="Arial"/>
          <w:bCs/>
        </w:rPr>
        <w:t xml:space="preserve"> </w:t>
      </w:r>
      <w:r w:rsidR="00464118">
        <w:rPr>
          <w:rFonts w:ascii="Arial" w:hAnsi="Arial" w:cs="Arial"/>
          <w:bCs/>
        </w:rPr>
        <w:t xml:space="preserve">[2] </w:t>
      </w:r>
      <w:r>
        <w:rPr>
          <w:rFonts w:ascii="Arial" w:hAnsi="Arial" w:cs="Arial"/>
          <w:bCs/>
        </w:rPr>
        <w:t xml:space="preserve">could be </w:t>
      </w:r>
      <w:r w:rsidR="007E1A19">
        <w:rPr>
          <w:rFonts w:ascii="Arial" w:hAnsi="Arial" w:cs="Arial"/>
          <w:bCs/>
        </w:rPr>
        <w:t>used</w:t>
      </w:r>
      <w:r>
        <w:rPr>
          <w:rFonts w:ascii="Arial" w:hAnsi="Arial" w:cs="Arial"/>
          <w:bCs/>
        </w:rPr>
        <w:t xml:space="preserve"> </w:t>
      </w:r>
      <w:r w:rsidR="007E1A19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cell reselection between TN and NTN systems</w:t>
      </w:r>
      <w:r w:rsidR="006C7268">
        <w:rPr>
          <w:rFonts w:ascii="Arial" w:hAnsi="Arial" w:cs="Arial"/>
          <w:bCs/>
        </w:rPr>
        <w:t xml:space="preserve"> for eMTC</w:t>
      </w:r>
      <w:r>
        <w:rPr>
          <w:rFonts w:ascii="Arial" w:hAnsi="Arial" w:cs="Arial"/>
          <w:bCs/>
        </w:rPr>
        <w:t xml:space="preserve">. The </w:t>
      </w:r>
      <w:r w:rsidR="006C726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NB of NTN can configure suitable values of </w:t>
      </w:r>
      <w:r w:rsidRPr="007E1A19">
        <w:rPr>
          <w:rFonts w:ascii="Arial" w:hAnsi="Arial" w:cs="Arial"/>
          <w:bCs/>
          <w:i/>
        </w:rPr>
        <w:t>Thresh</w:t>
      </w:r>
      <w:r w:rsidRPr="007E1A19">
        <w:rPr>
          <w:rFonts w:ascii="Arial" w:hAnsi="Arial" w:cs="Arial"/>
          <w:bCs/>
          <w:i/>
          <w:vertAlign w:val="subscript"/>
        </w:rPr>
        <w:t>X, HighQ</w:t>
      </w:r>
      <w:r w:rsidRPr="007E1A19">
        <w:rPr>
          <w:rFonts w:ascii="Arial" w:hAnsi="Arial" w:cs="Arial"/>
          <w:bCs/>
          <w:i/>
        </w:rPr>
        <w:t xml:space="preserve">, </w:t>
      </w:r>
      <w:r w:rsidR="005717F6" w:rsidRPr="007E1A19">
        <w:rPr>
          <w:i/>
        </w:rPr>
        <w:t>Thresh</w:t>
      </w:r>
      <w:r w:rsidR="005717F6" w:rsidRPr="007E1A19">
        <w:rPr>
          <w:i/>
          <w:vertAlign w:val="subscript"/>
          <w:lang w:eastAsia="ja-JP"/>
        </w:rPr>
        <w:t>X, High</w:t>
      </w:r>
      <w:r w:rsidR="005717F6" w:rsidRPr="007E1A19">
        <w:rPr>
          <w:i/>
          <w:lang w:eastAsia="ja-JP"/>
        </w:rPr>
        <w:t xml:space="preserve">,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>, LowQ</w:t>
      </w:r>
      <w:r w:rsidR="007E1A19">
        <w:rPr>
          <w:i/>
          <w:vertAlign w:val="subscript"/>
          <w:lang w:eastAsia="ja-JP"/>
        </w:rPr>
        <w:t>,</w:t>
      </w:r>
      <w:r w:rsidR="00FE4E01" w:rsidRPr="007E1A19">
        <w:rPr>
          <w:i/>
          <w:vertAlign w:val="subscript"/>
          <w:lang w:eastAsia="ja-JP"/>
        </w:rPr>
        <w:t xml:space="preserve"> </w:t>
      </w:r>
      <w:r w:rsidR="007E1A19" w:rsidRPr="007E1A19">
        <w:rPr>
          <w:lang w:eastAsia="ja-JP"/>
        </w:rPr>
        <w:t>and</w:t>
      </w:r>
      <w:r w:rsidR="007E1A19">
        <w:rPr>
          <w:i/>
          <w:lang w:eastAsia="ja-JP"/>
        </w:rPr>
        <w:t xml:space="preserve">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 xml:space="preserve">, </w:t>
      </w:r>
      <w:r w:rsidR="00087167" w:rsidRPr="007E1A19">
        <w:rPr>
          <w:i/>
          <w:vertAlign w:val="subscript"/>
          <w:lang w:eastAsia="ja-JP"/>
        </w:rPr>
        <w:t>Low</w:t>
      </w:r>
      <w:r w:rsidR="00087167">
        <w:rPr>
          <w:i/>
          <w:vertAlign w:val="subscript"/>
          <w:lang w:eastAsia="ja-JP"/>
        </w:rPr>
        <w:t>P</w:t>
      </w:r>
      <w:r w:rsidR="00087167">
        <w:rPr>
          <w:vertAlign w:val="subscript"/>
          <w:lang w:eastAsia="ja-JP"/>
        </w:rPr>
        <w:t xml:space="preserve"> </w:t>
      </w:r>
      <w:r w:rsidR="00FE4E01">
        <w:rPr>
          <w:rFonts w:ascii="Arial" w:hAnsi="Arial" w:cs="Arial"/>
          <w:bCs/>
        </w:rPr>
        <w:t xml:space="preserve">to assist the UEs in efficient cell re-selection. </w:t>
      </w:r>
      <w:r w:rsidR="00313757">
        <w:rPr>
          <w:rFonts w:ascii="Arial" w:hAnsi="Arial" w:cs="Arial"/>
          <w:bCs/>
        </w:rPr>
        <w:t xml:space="preserve">A reasonable network implementation would </w:t>
      </w:r>
      <w:r w:rsidR="00FE4E01">
        <w:rPr>
          <w:rFonts w:ascii="Arial" w:hAnsi="Arial" w:cs="Arial"/>
          <w:bCs/>
        </w:rPr>
        <w:t>provid</w:t>
      </w:r>
      <w:r w:rsidR="00CB6415">
        <w:rPr>
          <w:rFonts w:ascii="Arial" w:hAnsi="Arial" w:cs="Arial"/>
          <w:bCs/>
        </w:rPr>
        <w:t>e</w:t>
      </w:r>
      <w:r w:rsidR="00FE4E01">
        <w:rPr>
          <w:rFonts w:ascii="Arial" w:hAnsi="Arial" w:cs="Arial"/>
          <w:bCs/>
        </w:rPr>
        <w:t xml:space="preserve"> higher priorities to TN cells. </w:t>
      </w:r>
      <w:r w:rsidR="006C7268">
        <w:rPr>
          <w:rFonts w:ascii="Arial" w:hAnsi="Arial" w:cs="Arial"/>
          <w:bCs/>
        </w:rPr>
        <w:t xml:space="preserve">Similarly for NB-IoT, different frequency specific offsets </w:t>
      </w:r>
      <w:r w:rsidR="006C7268" w:rsidRPr="00D03E1F">
        <w:rPr>
          <w:rFonts w:ascii="Arial" w:hAnsi="Arial" w:cs="Arial"/>
          <w:bCs/>
          <w:i/>
        </w:rPr>
        <w:t>Qoffset</w:t>
      </w:r>
      <w:r w:rsidR="006C7268">
        <w:rPr>
          <w:rFonts w:ascii="Arial" w:hAnsi="Arial" w:cs="Arial"/>
          <w:bCs/>
        </w:rPr>
        <w:t xml:space="preserve"> as specified in Section 5.2.4.6 of 3GPP 36.304 [2] can configured by the eNB for TN and NTN cells to promote reselections to TN systems. </w:t>
      </w:r>
      <w:r w:rsidR="00313757">
        <w:rPr>
          <w:rFonts w:ascii="Arial" w:hAnsi="Arial" w:cs="Arial"/>
          <w:bCs/>
        </w:rPr>
        <w:t>However, the ultimate decision is left to network deployment.</w:t>
      </w:r>
    </w:p>
    <w:p w14:paraId="31DA275C" w14:textId="7C688114" w:rsidR="00A6696B" w:rsidRPr="00BF0207" w:rsidRDefault="00BF0207" w:rsidP="00237227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>Observation 2: UE’s Location information does not provide any additional gain over existing re-selection mechanisms and also results in increased power consumption.</w:t>
      </w:r>
    </w:p>
    <w:p w14:paraId="0A06A96B" w14:textId="128363F6" w:rsidR="009618C6" w:rsidRPr="009618C6" w:rsidRDefault="00BF0207" w:rsidP="0023722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6C7268">
        <w:rPr>
          <w:rFonts w:ascii="Arial" w:eastAsia="MS Mincho" w:hAnsi="Arial"/>
          <w:b/>
        </w:rPr>
        <w:t>Legacy eMTC and NB-IoT</w:t>
      </w:r>
      <w:r w:rsidR="006C7268"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priorit</w:t>
      </w:r>
      <w:r w:rsidR="006C7268">
        <w:rPr>
          <w:rFonts w:ascii="Arial" w:hAnsi="Arial" w:cs="Arial"/>
          <w:b/>
          <w:bCs/>
        </w:rPr>
        <w:t>ies and frequency specific offsets</w:t>
      </w:r>
      <w:r>
        <w:rPr>
          <w:rFonts w:ascii="Arial" w:hAnsi="Arial" w:cs="Arial"/>
          <w:b/>
          <w:bCs/>
        </w:rPr>
        <w:t xml:space="preserve"> can be reused to control TN-NTN cell re-selection.</w:t>
      </w:r>
    </w:p>
    <w:p w14:paraId="38564A09" w14:textId="77777777" w:rsidR="00932DC3" w:rsidRPr="00932DC3" w:rsidRDefault="00932DC3" w:rsidP="00932DC3">
      <w:pPr>
        <w:pStyle w:val="ListParagraph"/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sz w:val="12"/>
        </w:rPr>
      </w:pPr>
    </w:p>
    <w:p w14:paraId="5E01412C" w14:textId="52C26799" w:rsidR="00ED5339" w:rsidRDefault="00ED5339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Similarly, for cells with the same priority, existing ranking schemes could be used. As mentioned in Section 5.2.4.6 of 3GPP </w:t>
      </w:r>
      <w:r w:rsidR="005B5040">
        <w:rPr>
          <w:rFonts w:ascii="Arial" w:hAnsi="Arial" w:cs="Arial"/>
          <w:bCs/>
        </w:rPr>
        <w:t>36</w:t>
      </w:r>
      <w:r>
        <w:rPr>
          <w:rFonts w:ascii="Arial" w:hAnsi="Arial" w:cs="Arial"/>
          <w:bCs/>
        </w:rPr>
        <w:t>.304</w:t>
      </w:r>
      <w:r w:rsidR="00464118">
        <w:rPr>
          <w:rFonts w:ascii="Arial" w:hAnsi="Arial" w:cs="Arial"/>
          <w:bCs/>
        </w:rPr>
        <w:t xml:space="preserve"> [2]</w:t>
      </w:r>
      <w:r>
        <w:rPr>
          <w:rFonts w:ascii="Arial" w:hAnsi="Arial" w:cs="Arial"/>
          <w:bCs/>
        </w:rPr>
        <w:t xml:space="preserve">, existing ranking mechanisms estimate ranking of serving and neighbour cells as: </w:t>
      </w:r>
      <w:r w:rsidRPr="004D66CF">
        <w:rPr>
          <w:rFonts w:ascii="Arial" w:hAnsi="Arial" w:cs="Arial"/>
          <w:bCs/>
          <w:i/>
        </w:rPr>
        <w:t>R</w:t>
      </w:r>
      <w:r w:rsidRPr="004D66CF">
        <w:rPr>
          <w:rFonts w:ascii="Arial" w:hAnsi="Arial" w:cs="Arial"/>
          <w:bCs/>
          <w:i/>
          <w:vertAlign w:val="subscript"/>
        </w:rPr>
        <w:t>s</w:t>
      </w:r>
      <w:r w:rsidRPr="004D66CF">
        <w:rPr>
          <w:rFonts w:ascii="Arial" w:hAnsi="Arial" w:cs="Arial"/>
          <w:bCs/>
          <w:i/>
        </w:rPr>
        <w:t xml:space="preserve"> = Q</w:t>
      </w:r>
      <w:r w:rsidRPr="004D66CF">
        <w:rPr>
          <w:rFonts w:ascii="Arial" w:hAnsi="Arial" w:cs="Arial"/>
          <w:bCs/>
          <w:i/>
          <w:vertAlign w:val="subscript"/>
        </w:rPr>
        <w:t>meas,s</w:t>
      </w:r>
      <w:r w:rsidRPr="004D66CF">
        <w:rPr>
          <w:rFonts w:ascii="Arial" w:hAnsi="Arial" w:cs="Arial"/>
          <w:bCs/>
          <w:i/>
        </w:rPr>
        <w:t xml:space="preserve"> +</w:t>
      </w:r>
      <w:r>
        <w:rPr>
          <w:rFonts w:ascii="Arial" w:hAnsi="Arial" w:cs="Arial"/>
          <w:bCs/>
          <w:i/>
        </w:rPr>
        <w:t xml:space="preserve"> </w:t>
      </w:r>
      <w:r w:rsidRPr="004D66CF">
        <w:rPr>
          <w:rFonts w:ascii="Arial" w:hAnsi="Arial" w:cs="Arial"/>
          <w:bCs/>
          <w:i/>
        </w:rPr>
        <w:t>Q</w:t>
      </w:r>
      <w:r w:rsidRPr="004D66CF">
        <w:rPr>
          <w:rFonts w:ascii="Arial" w:hAnsi="Arial" w:cs="Arial"/>
          <w:bCs/>
          <w:i/>
          <w:vertAlign w:val="subscript"/>
        </w:rPr>
        <w:t>hyst</w:t>
      </w:r>
      <w:r w:rsidRPr="004D66CF">
        <w:rPr>
          <w:rFonts w:ascii="Arial" w:hAnsi="Arial" w:cs="Arial"/>
          <w:bCs/>
          <w:i/>
        </w:rPr>
        <w:t xml:space="preserve"> – 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  <w:vertAlign w:val="subscript"/>
        </w:rPr>
        <w:t>temp</w:t>
      </w:r>
      <w:r>
        <w:rPr>
          <w:rFonts w:ascii="Arial" w:hAnsi="Arial" w:cs="Arial"/>
          <w:bCs/>
        </w:rPr>
        <w:t xml:space="preserve"> </w:t>
      </w:r>
      <w:r w:rsidR="005B5040">
        <w:rPr>
          <w:rFonts w:ascii="Arial" w:hAnsi="Arial" w:cs="Arial"/>
          <w:bCs/>
        </w:rPr>
        <w:t xml:space="preserve">+ </w:t>
      </w:r>
      <w:r w:rsidR="005B5040" w:rsidRPr="00D03E1F">
        <w:rPr>
          <w:rFonts w:ascii="Arial" w:hAnsi="Arial" w:cs="Arial"/>
          <w:bCs/>
          <w:i/>
        </w:rPr>
        <w:t>Qoffset</w:t>
      </w:r>
      <w:r w:rsidR="005B5040" w:rsidRPr="00D03E1F">
        <w:rPr>
          <w:rFonts w:ascii="Arial" w:hAnsi="Arial" w:cs="Arial"/>
          <w:bCs/>
          <w:i/>
          <w:vertAlign w:val="subscript"/>
        </w:rPr>
        <w:t>SCPTM</w:t>
      </w:r>
      <w:r w:rsidR="005B50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RPr="004D66CF">
        <w:rPr>
          <w:rFonts w:ascii="Arial" w:hAnsi="Arial" w:cs="Arial"/>
          <w:bCs/>
          <w:i/>
        </w:rPr>
        <w:t>R</w:t>
      </w:r>
      <w:r w:rsidRPr="004D66CF">
        <w:rPr>
          <w:rFonts w:ascii="Arial" w:hAnsi="Arial" w:cs="Arial"/>
          <w:bCs/>
          <w:i/>
          <w:vertAlign w:val="subscript"/>
        </w:rPr>
        <w:t>n</w:t>
      </w:r>
      <w:r w:rsidRPr="004D66CF">
        <w:rPr>
          <w:rFonts w:ascii="Arial" w:hAnsi="Arial" w:cs="Arial"/>
          <w:bCs/>
          <w:i/>
        </w:rPr>
        <w:t xml:space="preserve"> = Q</w:t>
      </w:r>
      <w:r w:rsidRPr="004D66CF">
        <w:rPr>
          <w:rFonts w:ascii="Arial" w:hAnsi="Arial" w:cs="Arial"/>
          <w:bCs/>
          <w:i/>
          <w:vertAlign w:val="subscript"/>
        </w:rPr>
        <w:t>meas,n</w:t>
      </w:r>
      <w:r w:rsidRPr="004D66CF">
        <w:rPr>
          <w:rFonts w:ascii="Arial" w:hAnsi="Arial" w:cs="Arial"/>
          <w:bCs/>
          <w:i/>
        </w:rPr>
        <w:t xml:space="preserve"> –</w:t>
      </w:r>
      <w:r>
        <w:rPr>
          <w:rFonts w:ascii="Arial" w:hAnsi="Arial" w:cs="Arial"/>
          <w:bCs/>
          <w:i/>
        </w:rPr>
        <w:t xml:space="preserve"> </w:t>
      </w:r>
      <w:r w:rsidRPr="004D66CF">
        <w:rPr>
          <w:rFonts w:ascii="Arial" w:hAnsi="Arial" w:cs="Arial"/>
          <w:bCs/>
          <w:i/>
        </w:rPr>
        <w:t>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</w:rPr>
        <w:t xml:space="preserve"> – 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  <w:vertAlign w:val="subscript"/>
        </w:rPr>
        <w:t>temp</w:t>
      </w:r>
      <w:r w:rsidR="005B5040">
        <w:rPr>
          <w:rFonts w:ascii="Arial" w:hAnsi="Arial" w:cs="Arial"/>
          <w:bCs/>
        </w:rPr>
        <w:t xml:space="preserve">+ </w:t>
      </w:r>
      <w:r w:rsidR="005B5040" w:rsidRPr="001E2283">
        <w:rPr>
          <w:rFonts w:ascii="Arial" w:hAnsi="Arial" w:cs="Arial"/>
          <w:bCs/>
          <w:i/>
        </w:rPr>
        <w:t>Qoffset</w:t>
      </w:r>
      <w:r w:rsidR="005B5040" w:rsidRPr="001E2283">
        <w:rPr>
          <w:rFonts w:ascii="Arial" w:hAnsi="Arial" w:cs="Arial"/>
          <w:bCs/>
          <w:i/>
          <w:vertAlign w:val="subscript"/>
        </w:rPr>
        <w:t>SCPTM</w:t>
      </w:r>
      <w:r>
        <w:rPr>
          <w:rFonts w:ascii="Arial" w:hAnsi="Arial" w:cs="Arial"/>
          <w:bCs/>
        </w:rPr>
        <w:t xml:space="preserve">. Network can configure and adjust the values of </w:t>
      </w:r>
      <w:r w:rsidRPr="004D66CF">
        <w:rPr>
          <w:rFonts w:ascii="Arial" w:hAnsi="Arial" w:cs="Arial"/>
          <w:bCs/>
          <w:i/>
        </w:rPr>
        <w:t>Q</w:t>
      </w:r>
      <w:r w:rsidRPr="00D03E1F">
        <w:rPr>
          <w:rFonts w:ascii="Arial" w:hAnsi="Arial" w:cs="Arial"/>
          <w:bCs/>
          <w:i/>
        </w:rPr>
        <w:t>offset</w:t>
      </w:r>
      <w:r>
        <w:rPr>
          <w:rFonts w:ascii="Arial" w:hAnsi="Arial" w:cs="Arial"/>
          <w:bCs/>
        </w:rPr>
        <w:t xml:space="preserve"> and </w:t>
      </w:r>
      <w:r w:rsidRPr="004D66CF">
        <w:rPr>
          <w:rFonts w:ascii="Arial" w:hAnsi="Arial" w:cs="Arial"/>
          <w:bCs/>
          <w:i/>
        </w:rPr>
        <w:t>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  <w:vertAlign w:val="subscript"/>
        </w:rPr>
        <w:t>temp</w:t>
      </w:r>
      <w:r>
        <w:rPr>
          <w:rFonts w:ascii="Arial" w:hAnsi="Arial" w:cs="Arial"/>
          <w:bCs/>
        </w:rPr>
        <w:t xml:space="preserve"> to prioritize the particular cells (beam-spots) along the trajectory of the LEO satellites. </w:t>
      </w:r>
    </w:p>
    <w:p w14:paraId="43807DD1" w14:textId="2F92FD8D" w:rsidR="00ED5339" w:rsidRDefault="00237227" w:rsidP="002372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an example, let’s assume the </w:t>
      </w:r>
      <w:r w:rsidRPr="00681A2D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is </w:t>
      </w:r>
      <w:r w:rsidRPr="00681A2D">
        <w:rPr>
          <w:rFonts w:ascii="Arial" w:hAnsi="Arial" w:cs="Arial"/>
        </w:rPr>
        <w:t>in beam 6</w:t>
      </w:r>
      <w:r>
        <w:rPr>
          <w:rFonts w:ascii="Arial" w:hAnsi="Arial" w:cs="Arial"/>
        </w:rPr>
        <w:t xml:space="preserve">, as shown in </w:t>
      </w:r>
      <w:r w:rsidR="009E7B10" w:rsidRPr="00932DC3">
        <w:rPr>
          <w:rFonts w:ascii="Arial" w:hAnsi="Arial" w:cs="Arial"/>
        </w:rPr>
        <w:fldChar w:fldCharType="begin"/>
      </w:r>
      <w:r w:rsidR="009E7B10" w:rsidRPr="00932DC3">
        <w:rPr>
          <w:rFonts w:ascii="Arial" w:hAnsi="Arial" w:cs="Arial"/>
        </w:rPr>
        <w:instrText xml:space="preserve"> REF _Ref47023175 \h </w:instrText>
      </w:r>
      <w:r w:rsidR="00932DC3" w:rsidRPr="00932DC3">
        <w:rPr>
          <w:rFonts w:ascii="Arial" w:hAnsi="Arial" w:cs="Arial"/>
        </w:rPr>
        <w:instrText xml:space="preserve"> \* MERGEFORMAT </w:instrText>
      </w:r>
      <w:r w:rsidR="009E7B10" w:rsidRPr="00932DC3">
        <w:rPr>
          <w:rFonts w:ascii="Arial" w:hAnsi="Arial" w:cs="Arial"/>
        </w:rPr>
      </w:r>
      <w:r w:rsidR="009E7B10" w:rsidRPr="00932DC3">
        <w:rPr>
          <w:rFonts w:ascii="Arial" w:hAnsi="Arial" w:cs="Arial"/>
        </w:rPr>
        <w:fldChar w:fldCharType="separate"/>
      </w:r>
      <w:r w:rsidR="00932DC3" w:rsidRPr="00932DC3">
        <w:rPr>
          <w:rFonts w:ascii="Arial" w:hAnsi="Arial" w:cs="Arial"/>
        </w:rPr>
        <w:t xml:space="preserve">Figure </w:t>
      </w:r>
      <w:r w:rsidR="00932DC3" w:rsidRPr="00932DC3">
        <w:rPr>
          <w:rFonts w:ascii="Arial" w:hAnsi="Arial" w:cs="Arial"/>
          <w:noProof/>
        </w:rPr>
        <w:t>3</w:t>
      </w:r>
      <w:r w:rsidR="009E7B10" w:rsidRPr="00932DC3">
        <w:rPr>
          <w:rFonts w:ascii="Arial" w:hAnsi="Arial" w:cs="Arial"/>
        </w:rPr>
        <w:fldChar w:fldCharType="end"/>
      </w:r>
      <w:r w:rsidRPr="00681A2D">
        <w:rPr>
          <w:rFonts w:ascii="Arial" w:hAnsi="Arial" w:cs="Arial"/>
        </w:rPr>
        <w:t xml:space="preserve">. The </w:t>
      </w:r>
      <w:r w:rsidR="009618C6">
        <w:rPr>
          <w:rFonts w:ascii="Arial" w:hAnsi="Arial" w:cs="Arial"/>
        </w:rPr>
        <w:t>network knows that</w:t>
      </w:r>
      <w:r w:rsidRPr="00681A2D">
        <w:rPr>
          <w:rFonts w:ascii="Arial" w:hAnsi="Arial" w:cs="Arial"/>
        </w:rPr>
        <w:t xml:space="preserve"> beam 2 and beam 7</w:t>
      </w:r>
      <w:r w:rsidR="00ED5339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 xml:space="preserve">are the </w:t>
      </w:r>
      <w:r w:rsidR="00ED5339">
        <w:rPr>
          <w:rFonts w:ascii="Arial" w:hAnsi="Arial" w:cs="Arial"/>
        </w:rPr>
        <w:t xml:space="preserve">possible </w:t>
      </w:r>
      <w:r w:rsidRPr="00681A2D">
        <w:rPr>
          <w:rFonts w:ascii="Arial" w:hAnsi="Arial" w:cs="Arial"/>
        </w:rPr>
        <w:t xml:space="preserve">candidates of next beam on 1st tier. </w:t>
      </w:r>
      <w:r>
        <w:rPr>
          <w:rFonts w:ascii="Arial" w:hAnsi="Arial" w:cs="Arial"/>
        </w:rPr>
        <w:t xml:space="preserve">It </w:t>
      </w:r>
      <w:r w:rsidR="00ED5339">
        <w:rPr>
          <w:rFonts w:ascii="Arial" w:hAnsi="Arial" w:cs="Arial"/>
        </w:rPr>
        <w:t xml:space="preserve">also knows that beam 3 and </w:t>
      </w:r>
      <w:r w:rsidR="00C2774C">
        <w:rPr>
          <w:rFonts w:ascii="Arial" w:hAnsi="Arial" w:cs="Arial"/>
        </w:rPr>
        <w:t xml:space="preserve">beam </w:t>
      </w:r>
      <w:r w:rsidR="00ED5339">
        <w:rPr>
          <w:rFonts w:ascii="Arial" w:hAnsi="Arial" w:cs="Arial"/>
        </w:rPr>
        <w:t xml:space="preserve">11 </w:t>
      </w:r>
      <w:r w:rsidRPr="00681A2D">
        <w:rPr>
          <w:rFonts w:ascii="Arial" w:hAnsi="Arial" w:cs="Arial"/>
        </w:rPr>
        <w:t>are the candidates of the beam after next beam on 2</w:t>
      </w:r>
      <w:r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>tier</w:t>
      </w:r>
      <w:r>
        <w:rPr>
          <w:rFonts w:ascii="Arial" w:hAnsi="Arial" w:cs="Arial"/>
        </w:rPr>
        <w:t xml:space="preserve">. </w:t>
      </w:r>
      <w:r w:rsidR="00ED5339">
        <w:rPr>
          <w:rFonts w:ascii="Arial" w:hAnsi="Arial" w:cs="Arial"/>
        </w:rPr>
        <w:t xml:space="preserve">Hence, for UEs in the coverage of beam 6, the network can reduce the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 w:rsidRPr="004D66CF">
        <w:rPr>
          <w:rFonts w:ascii="Arial" w:hAnsi="Arial" w:cs="Arial"/>
          <w:bCs/>
          <w:i/>
        </w:rPr>
        <w:t xml:space="preserve"> </w:t>
      </w:r>
      <w:r w:rsidR="00ED5339" w:rsidRPr="00ED5339">
        <w:rPr>
          <w:rFonts w:ascii="Arial" w:hAnsi="Arial" w:cs="Arial"/>
          <w:bCs/>
        </w:rPr>
        <w:t>and</w:t>
      </w:r>
      <w:r w:rsidR="00ED5339" w:rsidRPr="004D66CF">
        <w:rPr>
          <w:rFonts w:ascii="Arial" w:hAnsi="Arial" w:cs="Arial"/>
          <w:bCs/>
          <w:i/>
        </w:rPr>
        <w:t xml:space="preserve">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  <w:i/>
          <w:vertAlign w:val="subscript"/>
        </w:rPr>
        <w:t xml:space="preserve"> </w:t>
      </w:r>
      <w:r w:rsidR="00ED5339">
        <w:rPr>
          <w:rFonts w:ascii="Arial" w:hAnsi="Arial" w:cs="Arial"/>
        </w:rPr>
        <w:t xml:space="preserve">for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>,</w:t>
      </w:r>
      <w:r w:rsidR="00ED5339">
        <w:rPr>
          <w:rFonts w:ascii="Arial" w:hAnsi="Arial" w:cs="Arial"/>
        </w:rPr>
        <w:t xml:space="preserve"> so that </w:t>
      </w:r>
      <w:r w:rsidR="00F52C89">
        <w:rPr>
          <w:rFonts w:ascii="Arial" w:hAnsi="Arial" w:cs="Arial"/>
        </w:rPr>
        <w:t xml:space="preserve">the rankings of </w:t>
      </w:r>
      <w:r w:rsidR="00F52C8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 are increased and UE re-selects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. </w:t>
      </w:r>
      <w:r w:rsidR="00C2774C">
        <w:rPr>
          <w:rFonts w:ascii="Arial" w:hAnsi="Arial" w:cs="Arial"/>
        </w:rPr>
        <w:t>This approach could be extended across 2</w:t>
      </w:r>
      <w:r w:rsidR="00C2774C"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tier, consisting of beam 3 and beam 11.</w:t>
      </w:r>
    </w:p>
    <w:p w14:paraId="033ABBE2" w14:textId="77777777" w:rsidR="00ED5339" w:rsidRDefault="00ED5339" w:rsidP="00ED5339">
      <w:pPr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4F5AB875" wp14:editId="62492FA0">
            <wp:extent cx="2810510" cy="2060620"/>
            <wp:effectExtent l="0" t="0" r="889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75" cy="2147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46849F" w14:textId="77777777" w:rsidR="00ED5339" w:rsidRPr="00932DC3" w:rsidRDefault="00ED5339" w:rsidP="00ED5339">
      <w:pPr>
        <w:pStyle w:val="Caption"/>
        <w:jc w:val="center"/>
        <w:rPr>
          <w:b w:val="0"/>
        </w:rPr>
      </w:pPr>
      <w:bookmarkStart w:id="3" w:name="_Ref47023175"/>
      <w:r w:rsidRPr="00932DC3">
        <w:rPr>
          <w:b w:val="0"/>
        </w:rPr>
        <w:t xml:space="preserve">Figure </w:t>
      </w:r>
      <w:r w:rsidRPr="00932DC3">
        <w:rPr>
          <w:b w:val="0"/>
        </w:rPr>
        <w:fldChar w:fldCharType="begin"/>
      </w:r>
      <w:r w:rsidRPr="00932DC3">
        <w:rPr>
          <w:b w:val="0"/>
        </w:rPr>
        <w:instrText xml:space="preserve"> SEQ Figure \* ARABIC </w:instrText>
      </w:r>
      <w:r w:rsidRPr="00932DC3">
        <w:rPr>
          <w:b w:val="0"/>
        </w:rPr>
        <w:fldChar w:fldCharType="separate"/>
      </w:r>
      <w:r>
        <w:rPr>
          <w:b w:val="0"/>
          <w:noProof/>
        </w:rPr>
        <w:t>3</w:t>
      </w:r>
      <w:r w:rsidRPr="00932DC3">
        <w:rPr>
          <w:b w:val="0"/>
          <w:noProof/>
        </w:rPr>
        <w:fldChar w:fldCharType="end"/>
      </w:r>
      <w:bookmarkEnd w:id="3"/>
      <w:r w:rsidRPr="00932DC3">
        <w:rPr>
          <w:b w:val="0"/>
        </w:rPr>
        <w:t>: Beam trajectory and next cell information</w:t>
      </w:r>
    </w:p>
    <w:p w14:paraId="256FEFA6" w14:textId="77777777" w:rsidR="00ED5339" w:rsidRPr="00057FCB" w:rsidRDefault="00ED5339" w:rsidP="00237227">
      <w:pPr>
        <w:rPr>
          <w:rFonts w:ascii="Arial" w:hAnsi="Arial" w:cs="Arial"/>
          <w:sz w:val="8"/>
        </w:rPr>
      </w:pPr>
    </w:p>
    <w:p w14:paraId="3E3AEE70" w14:textId="154C9F59" w:rsidR="00ED5339" w:rsidRDefault="003C61BF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Based, on the discussions above, </w:t>
      </w:r>
      <w:r w:rsidR="00ED5339">
        <w:rPr>
          <w:rFonts w:ascii="Arial" w:hAnsi="Arial" w:cs="Arial"/>
          <w:bCs/>
        </w:rPr>
        <w:t>UE’s location is clearly unnecessary as it does not provide any additional gain. Moreover, constant checking and processing of UE’s location will drain UE’s battery in the idle mode.</w:t>
      </w:r>
    </w:p>
    <w:p w14:paraId="00BF17A9" w14:textId="070D4B60" w:rsidR="00057FCB" w:rsidRDefault="00057FCB" w:rsidP="00057FC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 w:rsidR="005B5040">
        <w:rPr>
          <w:rFonts w:ascii="Arial" w:eastAsia="MS Mincho" w:hAnsi="Arial"/>
          <w:b/>
        </w:rPr>
        <w:t>Legacy eMTC and NB-IoT</w:t>
      </w:r>
      <w:r w:rsidR="005B5040"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eastAsia="MS Mincho" w:hAnsi="Arial"/>
          <w:b/>
        </w:rPr>
        <w:t xml:space="preserve">cell ranking schemes could be reused to trigger fast cell re-selection of upcoming neighbour cells in </w:t>
      </w:r>
      <w:r w:rsidR="00FA0F6B">
        <w:rPr>
          <w:rFonts w:ascii="Arial" w:eastAsia="MS Mincho" w:hAnsi="Arial"/>
          <w:b/>
        </w:rPr>
        <w:t>IoT</w:t>
      </w:r>
      <w:r>
        <w:rPr>
          <w:rFonts w:ascii="Arial" w:eastAsia="MS Mincho" w:hAnsi="Arial"/>
          <w:b/>
        </w:rPr>
        <w:t>-NTN</w:t>
      </w:r>
      <w:r>
        <w:rPr>
          <w:rFonts w:ascii="Arial" w:hAnsi="Arial" w:cs="Arial"/>
          <w:b/>
          <w:bCs/>
        </w:rPr>
        <w:t xml:space="preserve">. </w:t>
      </w:r>
    </w:p>
    <w:p w14:paraId="38B68444" w14:textId="77777777" w:rsidR="00C971EA" w:rsidRPr="00C971EA" w:rsidRDefault="00C971EA" w:rsidP="009618C6">
      <w:pPr>
        <w:rPr>
          <w:rFonts w:ascii="Arial" w:hAnsi="Arial" w:cs="Arial"/>
          <w:sz w:val="2"/>
        </w:rPr>
      </w:pPr>
    </w:p>
    <w:p w14:paraId="7B300F2E" w14:textId="2A32D187" w:rsidR="009618C6" w:rsidRPr="00283AB2" w:rsidRDefault="0047604A" w:rsidP="009618C6">
      <w:pPr>
        <w:rPr>
          <w:rFonts w:ascii="Arial" w:hAnsi="Arial" w:cs="Arial"/>
        </w:rPr>
      </w:pPr>
      <w:r>
        <w:rPr>
          <w:rFonts w:ascii="Arial" w:hAnsi="Arial" w:cs="Arial"/>
        </w:rPr>
        <w:t>LEO NTNs</w:t>
      </w:r>
      <w:r w:rsidR="0070512E">
        <w:rPr>
          <w:rFonts w:ascii="Arial" w:hAnsi="Arial" w:cs="Arial"/>
        </w:rPr>
        <w:t xml:space="preserve"> with moving beams might not</w:t>
      </w:r>
      <w:r w:rsidR="00A55879">
        <w:rPr>
          <w:rFonts w:ascii="Arial" w:hAnsi="Arial" w:cs="Arial"/>
        </w:rPr>
        <w:t xml:space="preserve"> have continuous cell coverage, i.e. there could be intermittent coverage holes between consecutive cells (beams). </w:t>
      </w:r>
      <w:r w:rsidR="009E70E7">
        <w:rPr>
          <w:rFonts w:ascii="Arial" w:hAnsi="Arial" w:cs="Arial"/>
        </w:rPr>
        <w:t xml:space="preserve">Hence, UEs might face out-of-coverage problems during the cell movements. Such information about coverage holes could be provided to the UEs by the network </w:t>
      </w:r>
      <w:r w:rsidR="009618C6">
        <w:rPr>
          <w:rFonts w:ascii="Arial" w:hAnsi="Arial" w:cs="Arial"/>
        </w:rPr>
        <w:t xml:space="preserve">by considering satellite’s long-term </w:t>
      </w:r>
      <w:r w:rsidR="00B644DC">
        <w:rPr>
          <w:rFonts w:ascii="Arial" w:hAnsi="Arial" w:cs="Arial"/>
        </w:rPr>
        <w:t xml:space="preserve">(coarse-grained) </w:t>
      </w:r>
      <w:r w:rsidR="009618C6">
        <w:rPr>
          <w:rFonts w:ascii="Arial" w:hAnsi="Arial" w:cs="Arial"/>
        </w:rPr>
        <w:t xml:space="preserve">ephemeris. </w:t>
      </w:r>
      <w:r w:rsidR="009618C6" w:rsidRPr="00681A2D">
        <w:rPr>
          <w:rFonts w:ascii="Arial" w:hAnsi="Arial" w:cs="Arial"/>
        </w:rPr>
        <w:t>During initial access, the assistance information corresponding to the serving beam can indicate the following information</w:t>
      </w:r>
      <w:r w:rsidR="009618C6">
        <w:rPr>
          <w:rFonts w:ascii="Arial" w:hAnsi="Arial" w:cs="Arial"/>
        </w:rPr>
        <w:t xml:space="preserve"> of </w:t>
      </w:r>
      <w:r w:rsidR="009618C6" w:rsidRPr="00681A2D">
        <w:rPr>
          <w:rFonts w:ascii="Arial" w:hAnsi="Arial" w:cs="Arial"/>
          <w:lang w:val="en-US"/>
        </w:rPr>
        <w:t>the beams around the potential trajectory due to t</w:t>
      </w:r>
      <w:r w:rsidR="009618C6">
        <w:rPr>
          <w:rFonts w:ascii="Arial" w:hAnsi="Arial" w:cs="Arial"/>
          <w:lang w:val="en-US"/>
        </w:rPr>
        <w:t>he satellite movement:</w:t>
      </w:r>
    </w:p>
    <w:p w14:paraId="7DC34B9F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next beam (first tier)</w:t>
      </w:r>
    </w:p>
    <w:p w14:paraId="483912F7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beam after next beam (second tier)</w:t>
      </w:r>
    </w:p>
    <w:p w14:paraId="50995F7A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next beam (first tier)</w:t>
      </w:r>
    </w:p>
    <w:p w14:paraId="26F0ABA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 xml:space="preserve">The starting frequency domain position </w:t>
      </w:r>
    </w:p>
    <w:p w14:paraId="79F6FC50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Periodicity and symbol offset</w:t>
      </w:r>
    </w:p>
    <w:p w14:paraId="133A7B8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beam after next beam (second tier)</w:t>
      </w:r>
    </w:p>
    <w:p w14:paraId="45A2BF0B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 xml:space="preserve">The starting frequency domain position </w:t>
      </w:r>
    </w:p>
    <w:p w14:paraId="0F87D547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Periodicity and symbol offset</w:t>
      </w:r>
    </w:p>
    <w:p w14:paraId="690DB4D2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The difference of the frequency pre-compensation value between the serving beam and the beam candidates as the next beam (first tier)</w:t>
      </w:r>
    </w:p>
    <w:p w14:paraId="4DDEC6B0" w14:textId="77777777" w:rsidR="009618C6" w:rsidRPr="00932DC3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</w:rPr>
      </w:pPr>
      <w:r w:rsidRPr="00932DC3">
        <w:rPr>
          <w:rFonts w:ascii="Arial" w:hAnsi="Arial" w:cs="Arial"/>
          <w:lang w:val="en-US"/>
        </w:rPr>
        <w:t>The difference of the frequency pre-compensation value between the serving beam and the beam candidates as the beam after next beam (second tier).</w:t>
      </w:r>
    </w:p>
    <w:p w14:paraId="431441E0" w14:textId="77777777" w:rsidR="009618C6" w:rsidRPr="009E70E7" w:rsidRDefault="009618C6" w:rsidP="0042583C">
      <w:pPr>
        <w:rPr>
          <w:rFonts w:ascii="Arial" w:eastAsia="MS Mincho" w:hAnsi="Arial"/>
          <w:b/>
          <w:sz w:val="10"/>
        </w:rPr>
      </w:pPr>
    </w:p>
    <w:p w14:paraId="6D3A5876" w14:textId="5BD1B3E5" w:rsidR="00057FCB" w:rsidRDefault="00057FCB" w:rsidP="00057FCB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 w:rsidR="0020413E">
        <w:rPr>
          <w:rFonts w:ascii="Arial" w:eastAsia="MS Mincho" w:hAnsi="Arial"/>
          <w:b/>
        </w:rPr>
        <w:t>4</w:t>
      </w:r>
      <w:r w:rsidRPr="009E70E7">
        <w:rPr>
          <w:rFonts w:ascii="Arial" w:eastAsia="MS Mincho" w:hAnsi="Arial"/>
          <w:b/>
        </w:rPr>
        <w:t xml:space="preserve">: </w:t>
      </w:r>
      <w:r w:rsidR="009E70E7" w:rsidRPr="009E70E7">
        <w:rPr>
          <w:rFonts w:ascii="Arial" w:eastAsia="MS Mincho" w:hAnsi="Arial"/>
          <w:b/>
        </w:rPr>
        <w:t xml:space="preserve">In NTN coverage holes associated with cell re-selection could be informed to the UEs by using </w:t>
      </w:r>
      <w:r w:rsidR="009E70E7" w:rsidRPr="009E70E7">
        <w:rPr>
          <w:rFonts w:ascii="Arial" w:hAnsi="Arial" w:cs="Arial"/>
          <w:b/>
        </w:rPr>
        <w:t>satellite’s long-term (coarse-grained) ephemeris</w:t>
      </w:r>
      <w:r w:rsidR="009E70E7"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</w:t>
      </w:r>
      <w:r w:rsidR="009E70E7">
        <w:rPr>
          <w:rFonts w:ascii="Arial" w:eastAsia="MS Mincho" w:hAnsi="Arial"/>
          <w:b/>
        </w:rPr>
        <w:t>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 w:rsidR="009E70E7">
        <w:rPr>
          <w:rFonts w:ascii="Arial" w:eastAsia="MS Mincho" w:hAnsi="Arial"/>
          <w:b/>
        </w:rPr>
        <w:t>acquiring knowledge about coverage holes (out-of-coverage) and cell re-selection</w:t>
      </w:r>
      <w:r>
        <w:rPr>
          <w:rFonts w:ascii="Arial" w:eastAsia="MS Mincho" w:hAnsi="Arial"/>
          <w:b/>
        </w:rPr>
        <w:t>.</w:t>
      </w:r>
      <w:r w:rsidRPr="00940DE4">
        <w:rPr>
          <w:rFonts w:ascii="Arial" w:eastAsia="MS Mincho" w:hAnsi="Arial"/>
          <w:b/>
        </w:rPr>
        <w:t xml:space="preserve"> </w:t>
      </w:r>
    </w:p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7378FDA4" w14:textId="1163F4AE" w:rsidR="00237227" w:rsidRDefault="00E372C9" w:rsidP="00F95324">
      <w:pPr>
        <w:rPr>
          <w:rFonts w:ascii="Arial" w:hAnsi="Arial" w:cs="Arial"/>
          <w:b/>
        </w:rPr>
      </w:pPr>
      <w:r w:rsidRPr="00237227">
        <w:rPr>
          <w:rFonts w:ascii="Arial" w:hAnsi="Arial" w:cs="Arial"/>
        </w:rPr>
        <w:t>In this contribution, we have the following observations and proposals regarding the</w:t>
      </w:r>
      <w:r w:rsidR="00237227">
        <w:rPr>
          <w:rFonts w:ascii="Arial" w:hAnsi="Arial" w:cs="Arial"/>
        </w:rPr>
        <w:t xml:space="preserve"> idle mode operations, involving</w:t>
      </w:r>
      <w:r w:rsidRPr="00237227">
        <w:rPr>
          <w:rFonts w:ascii="Arial" w:hAnsi="Arial" w:cs="Arial"/>
        </w:rPr>
        <w:t xml:space="preserve"> </w:t>
      </w:r>
      <w:r w:rsidR="00237227">
        <w:rPr>
          <w:rFonts w:ascii="Arial" w:hAnsi="Arial" w:cs="Arial"/>
        </w:rPr>
        <w:t xml:space="preserve">cell re-selection </w:t>
      </w:r>
      <w:r w:rsidRPr="00237227">
        <w:rPr>
          <w:rFonts w:ascii="Arial" w:hAnsi="Arial" w:cs="Arial"/>
        </w:rPr>
        <w:t xml:space="preserve">with moving cells in </w:t>
      </w:r>
      <w:r w:rsidR="00FA0F6B">
        <w:rPr>
          <w:rFonts w:ascii="Arial" w:hAnsi="Arial" w:cs="Arial"/>
        </w:rPr>
        <w:t>IoT</w:t>
      </w:r>
      <w:r w:rsidR="00237227">
        <w:rPr>
          <w:rFonts w:ascii="Arial" w:hAnsi="Arial" w:cs="Arial"/>
        </w:rPr>
        <w:t>-</w:t>
      </w:r>
      <w:r w:rsidRPr="00237227">
        <w:rPr>
          <w:rFonts w:ascii="Arial" w:hAnsi="Arial" w:cs="Arial"/>
        </w:rPr>
        <w:t>NTN:</w:t>
      </w:r>
    </w:p>
    <w:p w14:paraId="78C84040" w14:textId="77777777" w:rsidR="0020413E" w:rsidRDefault="0020413E" w:rsidP="0020413E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For most of the cell areas the difference in RSRP changes between TN and NTN is not much. </w:t>
      </w:r>
    </w:p>
    <w:p w14:paraId="21E7FC8F" w14:textId="77777777" w:rsidR="005B5040" w:rsidRDefault="005B5040" w:rsidP="005B5040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Legacy eMTC and NB-IoT cell selection procedures and intra frequency measurements could be reused in IoT-NTN. </w:t>
      </w:r>
    </w:p>
    <w:p w14:paraId="025E847E" w14:textId="77777777" w:rsidR="0020413E" w:rsidRPr="00BF0207" w:rsidRDefault="0020413E" w:rsidP="0020413E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>Observation 2: UE’s Location information does not provide any additional gain over existing re-selection mechanisms and also results in increased power consumption.</w:t>
      </w:r>
    </w:p>
    <w:p w14:paraId="3B3341A0" w14:textId="13A2A7B0" w:rsidR="005B5040" w:rsidRPr="009618C6" w:rsidRDefault="005B5040" w:rsidP="005B504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eastAsia="MS Mincho" w:hAnsi="Arial"/>
          <w:b/>
        </w:rPr>
        <w:t>Legacy eMTC and NB-IoT</w:t>
      </w:r>
      <w:r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priorities and frequency specific offsets can be reused to control TN-NTN cell re-selection.</w:t>
      </w:r>
    </w:p>
    <w:p w14:paraId="38696FC4" w14:textId="6207D5A4" w:rsidR="005B5040" w:rsidRDefault="005B5040" w:rsidP="005B504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>Legacy eMTC and NB-IoT</w:t>
      </w:r>
      <w:r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eastAsia="MS Mincho" w:hAnsi="Arial"/>
          <w:b/>
        </w:rPr>
        <w:t>cell ranking schemes could be reused to trigger fast cell re-selection of upcoming neighbour cells in IoT-NTN</w:t>
      </w:r>
      <w:r>
        <w:rPr>
          <w:rFonts w:ascii="Arial" w:hAnsi="Arial" w:cs="Arial"/>
          <w:b/>
          <w:bCs/>
        </w:rPr>
        <w:t xml:space="preserve">. </w:t>
      </w:r>
    </w:p>
    <w:p w14:paraId="08E05303" w14:textId="77777777" w:rsidR="0020413E" w:rsidRDefault="0020413E" w:rsidP="0020413E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>
        <w:rPr>
          <w:rFonts w:ascii="Arial" w:eastAsia="MS Mincho" w:hAnsi="Arial"/>
          <w:b/>
        </w:rPr>
        <w:t>4</w:t>
      </w:r>
      <w:r w:rsidRPr="009E70E7">
        <w:rPr>
          <w:rFonts w:ascii="Arial" w:eastAsia="MS Mincho" w:hAnsi="Arial"/>
          <w:b/>
        </w:rPr>
        <w:t xml:space="preserve">: In NTN coverage holes associated with cell re-selection could be informed to the UEs by using </w:t>
      </w:r>
      <w:r w:rsidRPr="009E70E7">
        <w:rPr>
          <w:rFonts w:ascii="Arial" w:hAnsi="Arial" w:cs="Arial"/>
          <w:b/>
        </w:rPr>
        <w:t>satellite’s long-term (coarse-grained) ephemeris</w:t>
      </w:r>
      <w:r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>
        <w:rPr>
          <w:rFonts w:ascii="Arial" w:eastAsia="MS Mincho" w:hAnsi="Arial"/>
          <w:b/>
        </w:rPr>
        <w:t>acquiring knowledge about coverage holes (out-of-coverage) and cell re-selection.</w:t>
      </w:r>
      <w:r w:rsidRPr="00940DE4">
        <w:rPr>
          <w:rFonts w:ascii="Arial" w:eastAsia="MS Mincho" w:hAnsi="Arial"/>
          <w:b/>
        </w:rPr>
        <w:t xml:space="preserve"> </w:t>
      </w: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7F9CD522" w14:textId="5DC8F1D2" w:rsidR="00106DA0" w:rsidRPr="00106DA0" w:rsidRDefault="00106DA0" w:rsidP="00106DA0">
      <w:pPr>
        <w:pStyle w:val="ListParagraph"/>
        <w:numPr>
          <w:ilvl w:val="0"/>
          <w:numId w:val="1"/>
        </w:numPr>
        <w:rPr>
          <w:rFonts w:ascii="Arial" w:hAnsi="Arial" w:cs="Arial"/>
          <w:lang w:eastAsia="ko-KR"/>
        </w:rPr>
      </w:pPr>
      <w:r w:rsidRPr="00106DA0">
        <w:rPr>
          <w:rFonts w:ascii="Arial" w:hAnsi="Arial" w:cs="Arial"/>
          <w:lang w:eastAsia="ko-KR"/>
        </w:rPr>
        <w:t>RP-211456</w:t>
      </w:r>
      <w:r>
        <w:rPr>
          <w:rFonts w:ascii="Arial" w:hAnsi="Arial" w:cs="Arial"/>
          <w:lang w:eastAsia="ko-KR"/>
        </w:rPr>
        <w:t>,</w:t>
      </w:r>
      <w:r w:rsidRPr="00106DA0">
        <w:rPr>
          <w:rFonts w:ascii="Arial" w:hAnsi="Arial" w:cs="Arial"/>
          <w:lang w:eastAsia="ko-KR"/>
        </w:rPr>
        <w:t xml:space="preserve"> TR 36.763 V1.0.0 Study on Narrow-Band Internet of Things (NB-IoT) / enhanced Machine Type Communication (eMTC) support for Non-Terrestrial Networks (NTN)</w:t>
      </w:r>
    </w:p>
    <w:p w14:paraId="618A8581" w14:textId="1F4AA5BB" w:rsidR="00AB48D5" w:rsidRDefault="00FD3DEB" w:rsidP="00272B3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3GPP TR 3</w:t>
      </w:r>
      <w:r w:rsidR="00C93DCB">
        <w:rPr>
          <w:rFonts w:ascii="Arial" w:hAnsi="Arial" w:cs="Arial"/>
        </w:rPr>
        <w:t>8</w:t>
      </w:r>
      <w:r>
        <w:rPr>
          <w:rFonts w:ascii="Arial" w:hAnsi="Arial" w:cs="Arial"/>
        </w:rPr>
        <w:t>.821</w:t>
      </w:r>
      <w:r w:rsidR="00272B3B">
        <w:rPr>
          <w:rFonts w:ascii="Arial" w:hAnsi="Arial" w:cs="Arial"/>
        </w:rPr>
        <w:t xml:space="preserve"> </w:t>
      </w:r>
      <w:r w:rsidR="00272B3B" w:rsidRPr="00272B3B">
        <w:rPr>
          <w:rFonts w:ascii="Arial" w:hAnsi="Arial" w:cs="Arial"/>
        </w:rPr>
        <w:t>Solutions for NR to support Non-Terrestrial Networks (NTN)</w:t>
      </w:r>
    </w:p>
    <w:p w14:paraId="2A5FBF43" w14:textId="027D7E0D" w:rsidR="00272B3B" w:rsidRPr="00464118" w:rsidRDefault="00272B3B" w:rsidP="0046411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7923">
        <w:rPr>
          <w:rFonts w:ascii="Arial" w:hAnsi="Arial" w:cs="Arial"/>
        </w:rPr>
        <w:t>TS 3</w:t>
      </w:r>
      <w:r w:rsidR="00C93DCB">
        <w:rPr>
          <w:rFonts w:ascii="Arial" w:hAnsi="Arial" w:cs="Arial"/>
        </w:rPr>
        <w:t>6.304</w:t>
      </w:r>
      <w:r w:rsidRPr="00D27923">
        <w:rPr>
          <w:rFonts w:ascii="Arial" w:hAnsi="Arial" w:cs="Arial"/>
        </w:rPr>
        <w:t xml:space="preserve"> User Equipment (UE) procedures in Idle mode and RRC Inactive state</w:t>
      </w:r>
      <w:r>
        <w:rPr>
          <w:rFonts w:ascii="Arial" w:hAnsi="Arial" w:cs="Arial"/>
        </w:rPr>
        <w:t>.</w:t>
      </w:r>
    </w:p>
    <w:sectPr w:rsidR="00272B3B" w:rsidRPr="00464118" w:rsidSect="00174B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C9B01" w14:textId="77777777" w:rsidR="001D7961" w:rsidRDefault="001D7961" w:rsidP="00BD754F">
      <w:pPr>
        <w:spacing w:after="0"/>
      </w:pPr>
      <w:r>
        <w:separator/>
      </w:r>
    </w:p>
  </w:endnote>
  <w:endnote w:type="continuationSeparator" w:id="0">
    <w:p w14:paraId="654850AE" w14:textId="77777777" w:rsidR="001D7961" w:rsidRDefault="001D7961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B8074" w14:textId="77777777" w:rsidR="001D7961" w:rsidRDefault="001D7961" w:rsidP="00BD754F">
      <w:pPr>
        <w:spacing w:after="0"/>
      </w:pPr>
      <w:r>
        <w:separator/>
      </w:r>
    </w:p>
  </w:footnote>
  <w:footnote w:type="continuationSeparator" w:id="0">
    <w:p w14:paraId="5181F522" w14:textId="77777777" w:rsidR="001D7961" w:rsidRDefault="001D7961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67289"/>
    <w:multiLevelType w:val="hybridMultilevel"/>
    <w:tmpl w:val="90F6A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3B11D6"/>
    <w:multiLevelType w:val="multilevel"/>
    <w:tmpl w:val="E11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78496F"/>
    <w:multiLevelType w:val="hybridMultilevel"/>
    <w:tmpl w:val="D76A8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631D3"/>
    <w:multiLevelType w:val="hybridMultilevel"/>
    <w:tmpl w:val="71E6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3A2FC3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C52B8"/>
    <w:multiLevelType w:val="hybridMultilevel"/>
    <w:tmpl w:val="40CC4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7236EB"/>
    <w:multiLevelType w:val="hybridMultilevel"/>
    <w:tmpl w:val="4142E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F165B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557E2B"/>
    <w:multiLevelType w:val="hybridMultilevel"/>
    <w:tmpl w:val="1B529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A59F3"/>
    <w:multiLevelType w:val="hybridMultilevel"/>
    <w:tmpl w:val="19BC9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0051C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2138B"/>
    <w:multiLevelType w:val="hybridMultilevel"/>
    <w:tmpl w:val="B9661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A5111"/>
    <w:multiLevelType w:val="hybridMultilevel"/>
    <w:tmpl w:val="9AFAF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11A80"/>
    <w:multiLevelType w:val="hybridMultilevel"/>
    <w:tmpl w:val="C6A2B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194E28"/>
    <w:multiLevelType w:val="hybridMultilevel"/>
    <w:tmpl w:val="3BFEF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3DD43A00"/>
    <w:multiLevelType w:val="hybridMultilevel"/>
    <w:tmpl w:val="4970DE74"/>
    <w:lvl w:ilvl="0" w:tplc="F59C0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02B0637"/>
    <w:multiLevelType w:val="hybridMultilevel"/>
    <w:tmpl w:val="1D0E2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717B2B"/>
    <w:multiLevelType w:val="hybridMultilevel"/>
    <w:tmpl w:val="CFB6305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6">
    <w:nsid w:val="4AED2FB9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CB1A39"/>
    <w:multiLevelType w:val="hybridMultilevel"/>
    <w:tmpl w:val="EE803DA0"/>
    <w:lvl w:ilvl="0" w:tplc="20BEA370">
      <w:start w:val="1"/>
      <w:numFmt w:val="decimal"/>
      <w:lvlText w:val="%1."/>
      <w:lvlJc w:val="left"/>
      <w:pPr>
        <w:ind w:left="1619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4FFF3C8A"/>
    <w:multiLevelType w:val="hybridMultilevel"/>
    <w:tmpl w:val="7D00E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4B5263"/>
    <w:multiLevelType w:val="hybridMultilevel"/>
    <w:tmpl w:val="B614A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56B2B"/>
    <w:multiLevelType w:val="hybridMultilevel"/>
    <w:tmpl w:val="16F06B22"/>
    <w:lvl w:ilvl="0" w:tplc="E2F0C8A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408463D"/>
    <w:multiLevelType w:val="hybridMultilevel"/>
    <w:tmpl w:val="ACF0D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6CA1AE0"/>
    <w:multiLevelType w:val="hybridMultilevel"/>
    <w:tmpl w:val="75B2A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F2073C"/>
    <w:multiLevelType w:val="hybridMultilevel"/>
    <w:tmpl w:val="94FC1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E14E1"/>
    <w:multiLevelType w:val="hybridMultilevel"/>
    <w:tmpl w:val="3A506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36">
    <w:nsid w:val="782919AD"/>
    <w:multiLevelType w:val="hybridMultilevel"/>
    <w:tmpl w:val="891E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>
    <w:nsid w:val="7A83462A"/>
    <w:multiLevelType w:val="hybridMultilevel"/>
    <w:tmpl w:val="D30E7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0C5A7A"/>
    <w:multiLevelType w:val="hybridMultilevel"/>
    <w:tmpl w:val="F2AE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F07718"/>
    <w:multiLevelType w:val="hybridMultilevel"/>
    <w:tmpl w:val="5008DC90"/>
    <w:lvl w:ilvl="0" w:tplc="495235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14"/>
  </w:num>
  <w:num w:numId="4">
    <w:abstractNumId w:val="16"/>
  </w:num>
  <w:num w:numId="5">
    <w:abstractNumId w:val="11"/>
  </w:num>
  <w:num w:numId="6">
    <w:abstractNumId w:val="21"/>
  </w:num>
  <w:num w:numId="7">
    <w:abstractNumId w:val="2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0"/>
  </w:num>
  <w:num w:numId="10">
    <w:abstractNumId w:val="25"/>
  </w:num>
  <w:num w:numId="11">
    <w:abstractNumId w:val="27"/>
  </w:num>
  <w:num w:numId="12">
    <w:abstractNumId w:val="29"/>
  </w:num>
  <w:num w:numId="13">
    <w:abstractNumId w:val="20"/>
  </w:num>
  <w:num w:numId="14">
    <w:abstractNumId w:val="18"/>
  </w:num>
  <w:num w:numId="15">
    <w:abstractNumId w:val="34"/>
  </w:num>
  <w:num w:numId="16">
    <w:abstractNumId w:val="9"/>
  </w:num>
  <w:num w:numId="17">
    <w:abstractNumId w:val="26"/>
  </w:num>
  <w:num w:numId="18">
    <w:abstractNumId w:val="15"/>
  </w:num>
  <w:num w:numId="19">
    <w:abstractNumId w:val="32"/>
  </w:num>
  <w:num w:numId="20">
    <w:abstractNumId w:val="4"/>
  </w:num>
  <w:num w:numId="21">
    <w:abstractNumId w:val="28"/>
  </w:num>
  <w:num w:numId="22">
    <w:abstractNumId w:val="5"/>
  </w:num>
  <w:num w:numId="23">
    <w:abstractNumId w:val="3"/>
  </w:num>
  <w:num w:numId="24">
    <w:abstractNumId w:val="19"/>
  </w:num>
  <w:num w:numId="25">
    <w:abstractNumId w:val="22"/>
  </w:num>
  <w:num w:numId="26">
    <w:abstractNumId w:val="37"/>
  </w:num>
  <w:num w:numId="27">
    <w:abstractNumId w:val="7"/>
  </w:num>
  <w:num w:numId="28">
    <w:abstractNumId w:val="36"/>
  </w:num>
  <w:num w:numId="29">
    <w:abstractNumId w:val="13"/>
  </w:num>
  <w:num w:numId="30">
    <w:abstractNumId w:val="24"/>
  </w:num>
  <w:num w:numId="31">
    <w:abstractNumId w:val="17"/>
  </w:num>
  <w:num w:numId="32">
    <w:abstractNumId w:val="30"/>
  </w:num>
  <w:num w:numId="33">
    <w:abstractNumId w:val="12"/>
  </w:num>
  <w:num w:numId="34">
    <w:abstractNumId w:val="39"/>
  </w:num>
  <w:num w:numId="35">
    <w:abstractNumId w:val="10"/>
  </w:num>
  <w:num w:numId="36">
    <w:abstractNumId w:val="6"/>
  </w:num>
  <w:num w:numId="37">
    <w:abstractNumId w:val="33"/>
  </w:num>
  <w:num w:numId="38">
    <w:abstractNumId w:val="38"/>
  </w:num>
  <w:num w:numId="39">
    <w:abstractNumId w:val="2"/>
  </w:num>
  <w:num w:numId="40">
    <w:abstractNumId w:val="31"/>
  </w:num>
  <w:num w:numId="4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303"/>
    <w:rsid w:val="00023FB8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75B1"/>
    <w:rsid w:val="0005007C"/>
    <w:rsid w:val="00051E2A"/>
    <w:rsid w:val="00052D89"/>
    <w:rsid w:val="000548E6"/>
    <w:rsid w:val="00055571"/>
    <w:rsid w:val="00056DFB"/>
    <w:rsid w:val="00056F02"/>
    <w:rsid w:val="00057244"/>
    <w:rsid w:val="00057FCB"/>
    <w:rsid w:val="00062FCD"/>
    <w:rsid w:val="00065367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1940"/>
    <w:rsid w:val="00082839"/>
    <w:rsid w:val="00083613"/>
    <w:rsid w:val="00083723"/>
    <w:rsid w:val="00085DEE"/>
    <w:rsid w:val="00087167"/>
    <w:rsid w:val="00087FDA"/>
    <w:rsid w:val="00094FAE"/>
    <w:rsid w:val="000950C4"/>
    <w:rsid w:val="0009689E"/>
    <w:rsid w:val="00096D24"/>
    <w:rsid w:val="000A0227"/>
    <w:rsid w:val="000A031E"/>
    <w:rsid w:val="000A0359"/>
    <w:rsid w:val="000A083F"/>
    <w:rsid w:val="000A1916"/>
    <w:rsid w:val="000A26FE"/>
    <w:rsid w:val="000A3D4A"/>
    <w:rsid w:val="000A40AB"/>
    <w:rsid w:val="000A4413"/>
    <w:rsid w:val="000A521C"/>
    <w:rsid w:val="000A53FD"/>
    <w:rsid w:val="000B0C9D"/>
    <w:rsid w:val="000B332B"/>
    <w:rsid w:val="000B3363"/>
    <w:rsid w:val="000B4EA8"/>
    <w:rsid w:val="000B5A63"/>
    <w:rsid w:val="000C0936"/>
    <w:rsid w:val="000C1116"/>
    <w:rsid w:val="000C2175"/>
    <w:rsid w:val="000C2E71"/>
    <w:rsid w:val="000C3F75"/>
    <w:rsid w:val="000C49E1"/>
    <w:rsid w:val="000C580A"/>
    <w:rsid w:val="000C5C28"/>
    <w:rsid w:val="000C5CE7"/>
    <w:rsid w:val="000C5F64"/>
    <w:rsid w:val="000C7A92"/>
    <w:rsid w:val="000C7F76"/>
    <w:rsid w:val="000D0004"/>
    <w:rsid w:val="000D0AFB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3B7C"/>
    <w:rsid w:val="000F3F33"/>
    <w:rsid w:val="000F4170"/>
    <w:rsid w:val="000F42B1"/>
    <w:rsid w:val="000F6816"/>
    <w:rsid w:val="00100B7F"/>
    <w:rsid w:val="00101F47"/>
    <w:rsid w:val="001033E8"/>
    <w:rsid w:val="00103A4E"/>
    <w:rsid w:val="00105E7C"/>
    <w:rsid w:val="00106DA0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4C3F"/>
    <w:rsid w:val="00126EAE"/>
    <w:rsid w:val="0013003E"/>
    <w:rsid w:val="00130452"/>
    <w:rsid w:val="00130572"/>
    <w:rsid w:val="00131BAF"/>
    <w:rsid w:val="00133F22"/>
    <w:rsid w:val="001365AD"/>
    <w:rsid w:val="00136932"/>
    <w:rsid w:val="00136C34"/>
    <w:rsid w:val="00137626"/>
    <w:rsid w:val="00137E5B"/>
    <w:rsid w:val="00140395"/>
    <w:rsid w:val="001409B5"/>
    <w:rsid w:val="0014166E"/>
    <w:rsid w:val="00141CEB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85E"/>
    <w:rsid w:val="00160E41"/>
    <w:rsid w:val="00161D21"/>
    <w:rsid w:val="00162B9B"/>
    <w:rsid w:val="00163686"/>
    <w:rsid w:val="00163F50"/>
    <w:rsid w:val="001642ED"/>
    <w:rsid w:val="00166C94"/>
    <w:rsid w:val="001708D3"/>
    <w:rsid w:val="00170B50"/>
    <w:rsid w:val="00170C0E"/>
    <w:rsid w:val="0017118B"/>
    <w:rsid w:val="001727E1"/>
    <w:rsid w:val="001736F6"/>
    <w:rsid w:val="001740A2"/>
    <w:rsid w:val="00174AFB"/>
    <w:rsid w:val="00174B27"/>
    <w:rsid w:val="0017542E"/>
    <w:rsid w:val="0017594E"/>
    <w:rsid w:val="00175C3D"/>
    <w:rsid w:val="00181CB1"/>
    <w:rsid w:val="001833B4"/>
    <w:rsid w:val="00183824"/>
    <w:rsid w:val="00183C01"/>
    <w:rsid w:val="00186DF9"/>
    <w:rsid w:val="00190191"/>
    <w:rsid w:val="00190285"/>
    <w:rsid w:val="00192E61"/>
    <w:rsid w:val="00193035"/>
    <w:rsid w:val="001934FB"/>
    <w:rsid w:val="001940E9"/>
    <w:rsid w:val="00196902"/>
    <w:rsid w:val="00197550"/>
    <w:rsid w:val="001975BE"/>
    <w:rsid w:val="001A04CE"/>
    <w:rsid w:val="001A0B7E"/>
    <w:rsid w:val="001A0D55"/>
    <w:rsid w:val="001A111F"/>
    <w:rsid w:val="001A173E"/>
    <w:rsid w:val="001A1AD6"/>
    <w:rsid w:val="001A460C"/>
    <w:rsid w:val="001A50C3"/>
    <w:rsid w:val="001A5B22"/>
    <w:rsid w:val="001A5C16"/>
    <w:rsid w:val="001A762C"/>
    <w:rsid w:val="001A7937"/>
    <w:rsid w:val="001B0F53"/>
    <w:rsid w:val="001B268A"/>
    <w:rsid w:val="001B4B48"/>
    <w:rsid w:val="001B4F6C"/>
    <w:rsid w:val="001B5BCB"/>
    <w:rsid w:val="001B5E97"/>
    <w:rsid w:val="001B7430"/>
    <w:rsid w:val="001B7AE9"/>
    <w:rsid w:val="001B7BBD"/>
    <w:rsid w:val="001B7C2C"/>
    <w:rsid w:val="001C0CDC"/>
    <w:rsid w:val="001C175C"/>
    <w:rsid w:val="001C4300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1BDF"/>
    <w:rsid w:val="001D28F2"/>
    <w:rsid w:val="001D4429"/>
    <w:rsid w:val="001D5E25"/>
    <w:rsid w:val="001D762D"/>
    <w:rsid w:val="001D7961"/>
    <w:rsid w:val="001E01B3"/>
    <w:rsid w:val="001E0A09"/>
    <w:rsid w:val="001E1A47"/>
    <w:rsid w:val="001E59E9"/>
    <w:rsid w:val="001E605F"/>
    <w:rsid w:val="001E6778"/>
    <w:rsid w:val="001F0640"/>
    <w:rsid w:val="001F200D"/>
    <w:rsid w:val="001F2237"/>
    <w:rsid w:val="001F24E2"/>
    <w:rsid w:val="001F3205"/>
    <w:rsid w:val="001F3F17"/>
    <w:rsid w:val="001F419D"/>
    <w:rsid w:val="002007D8"/>
    <w:rsid w:val="0020188F"/>
    <w:rsid w:val="00201EE0"/>
    <w:rsid w:val="00202BE7"/>
    <w:rsid w:val="0020413E"/>
    <w:rsid w:val="002049B5"/>
    <w:rsid w:val="00205076"/>
    <w:rsid w:val="002059D3"/>
    <w:rsid w:val="00205BA0"/>
    <w:rsid w:val="002069B1"/>
    <w:rsid w:val="002076FD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31B1F"/>
    <w:rsid w:val="00231F18"/>
    <w:rsid w:val="00232367"/>
    <w:rsid w:val="00235AD0"/>
    <w:rsid w:val="00237024"/>
    <w:rsid w:val="00237227"/>
    <w:rsid w:val="0023732C"/>
    <w:rsid w:val="00240B8C"/>
    <w:rsid w:val="002417CC"/>
    <w:rsid w:val="002420F9"/>
    <w:rsid w:val="0024218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2B3B"/>
    <w:rsid w:val="00272FD2"/>
    <w:rsid w:val="0027426C"/>
    <w:rsid w:val="00274B7A"/>
    <w:rsid w:val="002763F7"/>
    <w:rsid w:val="00277B93"/>
    <w:rsid w:val="00277DCC"/>
    <w:rsid w:val="0028045E"/>
    <w:rsid w:val="002814AD"/>
    <w:rsid w:val="002831B9"/>
    <w:rsid w:val="00283AB2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73E9"/>
    <w:rsid w:val="002A16C1"/>
    <w:rsid w:val="002A21CD"/>
    <w:rsid w:val="002A39B2"/>
    <w:rsid w:val="002A4A16"/>
    <w:rsid w:val="002A76A5"/>
    <w:rsid w:val="002A7DF7"/>
    <w:rsid w:val="002B0515"/>
    <w:rsid w:val="002B0FB7"/>
    <w:rsid w:val="002B15B0"/>
    <w:rsid w:val="002B2AA5"/>
    <w:rsid w:val="002B38C7"/>
    <w:rsid w:val="002B43CF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217"/>
    <w:rsid w:val="002E65CB"/>
    <w:rsid w:val="002E686C"/>
    <w:rsid w:val="002E6C32"/>
    <w:rsid w:val="002E78BE"/>
    <w:rsid w:val="002F1101"/>
    <w:rsid w:val="002F1414"/>
    <w:rsid w:val="002F2F99"/>
    <w:rsid w:val="002F3ACA"/>
    <w:rsid w:val="002F3E6F"/>
    <w:rsid w:val="002F433F"/>
    <w:rsid w:val="002F470A"/>
    <w:rsid w:val="002F74A8"/>
    <w:rsid w:val="00300ADC"/>
    <w:rsid w:val="00303028"/>
    <w:rsid w:val="00303420"/>
    <w:rsid w:val="0030648E"/>
    <w:rsid w:val="00306D6F"/>
    <w:rsid w:val="0030729C"/>
    <w:rsid w:val="00307BA4"/>
    <w:rsid w:val="00307E68"/>
    <w:rsid w:val="00310243"/>
    <w:rsid w:val="003113E7"/>
    <w:rsid w:val="00311810"/>
    <w:rsid w:val="00312695"/>
    <w:rsid w:val="00313281"/>
    <w:rsid w:val="00313337"/>
    <w:rsid w:val="00313757"/>
    <w:rsid w:val="003138D4"/>
    <w:rsid w:val="00313E6C"/>
    <w:rsid w:val="00314CD6"/>
    <w:rsid w:val="003154CE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5A1D"/>
    <w:rsid w:val="003361E7"/>
    <w:rsid w:val="00336AE5"/>
    <w:rsid w:val="00337999"/>
    <w:rsid w:val="00337BF0"/>
    <w:rsid w:val="003403EE"/>
    <w:rsid w:val="00341624"/>
    <w:rsid w:val="0034187C"/>
    <w:rsid w:val="00341FA0"/>
    <w:rsid w:val="00343CAA"/>
    <w:rsid w:val="00346B67"/>
    <w:rsid w:val="003470D4"/>
    <w:rsid w:val="003511CF"/>
    <w:rsid w:val="00351E73"/>
    <w:rsid w:val="0035288F"/>
    <w:rsid w:val="003531F5"/>
    <w:rsid w:val="0035598E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4F4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4AFF"/>
    <w:rsid w:val="003A63F9"/>
    <w:rsid w:val="003A71FF"/>
    <w:rsid w:val="003B0A25"/>
    <w:rsid w:val="003B644F"/>
    <w:rsid w:val="003B767B"/>
    <w:rsid w:val="003C0205"/>
    <w:rsid w:val="003C0992"/>
    <w:rsid w:val="003C0C71"/>
    <w:rsid w:val="003C1678"/>
    <w:rsid w:val="003C1FCA"/>
    <w:rsid w:val="003C2A72"/>
    <w:rsid w:val="003C495A"/>
    <w:rsid w:val="003C4A5A"/>
    <w:rsid w:val="003C4AC4"/>
    <w:rsid w:val="003C513C"/>
    <w:rsid w:val="003C61BF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13CC"/>
    <w:rsid w:val="003E23EB"/>
    <w:rsid w:val="003E2D87"/>
    <w:rsid w:val="003E4AF5"/>
    <w:rsid w:val="003E61FD"/>
    <w:rsid w:val="003E6BA7"/>
    <w:rsid w:val="003E6C2E"/>
    <w:rsid w:val="003E795C"/>
    <w:rsid w:val="003F0559"/>
    <w:rsid w:val="003F22B4"/>
    <w:rsid w:val="003F4609"/>
    <w:rsid w:val="003F49D6"/>
    <w:rsid w:val="003F59ED"/>
    <w:rsid w:val="003F6D73"/>
    <w:rsid w:val="0040040F"/>
    <w:rsid w:val="00400851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83C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43A5C"/>
    <w:rsid w:val="00443F0A"/>
    <w:rsid w:val="00443F6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605AD"/>
    <w:rsid w:val="0046191E"/>
    <w:rsid w:val="0046308F"/>
    <w:rsid w:val="0046313D"/>
    <w:rsid w:val="00463F9F"/>
    <w:rsid w:val="00464118"/>
    <w:rsid w:val="004649A5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5C5C"/>
    <w:rsid w:val="0047604A"/>
    <w:rsid w:val="00476746"/>
    <w:rsid w:val="004776A9"/>
    <w:rsid w:val="00480BB2"/>
    <w:rsid w:val="004824AC"/>
    <w:rsid w:val="004837BC"/>
    <w:rsid w:val="00483D8F"/>
    <w:rsid w:val="004841FD"/>
    <w:rsid w:val="0048528C"/>
    <w:rsid w:val="004854D7"/>
    <w:rsid w:val="004866CB"/>
    <w:rsid w:val="00486B79"/>
    <w:rsid w:val="004901E3"/>
    <w:rsid w:val="004904F3"/>
    <w:rsid w:val="0049088A"/>
    <w:rsid w:val="00491F5D"/>
    <w:rsid w:val="00492ECE"/>
    <w:rsid w:val="0049305F"/>
    <w:rsid w:val="0049329F"/>
    <w:rsid w:val="00493B7F"/>
    <w:rsid w:val="00494776"/>
    <w:rsid w:val="00496D75"/>
    <w:rsid w:val="004A0D52"/>
    <w:rsid w:val="004A1C70"/>
    <w:rsid w:val="004A1C90"/>
    <w:rsid w:val="004A2F5E"/>
    <w:rsid w:val="004A659A"/>
    <w:rsid w:val="004A6CB9"/>
    <w:rsid w:val="004B0319"/>
    <w:rsid w:val="004B189A"/>
    <w:rsid w:val="004B195C"/>
    <w:rsid w:val="004B1F4B"/>
    <w:rsid w:val="004B2346"/>
    <w:rsid w:val="004B2401"/>
    <w:rsid w:val="004B2F85"/>
    <w:rsid w:val="004B651C"/>
    <w:rsid w:val="004C05CB"/>
    <w:rsid w:val="004C08EF"/>
    <w:rsid w:val="004C0CD2"/>
    <w:rsid w:val="004C1867"/>
    <w:rsid w:val="004C38CB"/>
    <w:rsid w:val="004C52BE"/>
    <w:rsid w:val="004C681C"/>
    <w:rsid w:val="004C7D2D"/>
    <w:rsid w:val="004D0787"/>
    <w:rsid w:val="004D086F"/>
    <w:rsid w:val="004D21E2"/>
    <w:rsid w:val="004D2791"/>
    <w:rsid w:val="004D2E84"/>
    <w:rsid w:val="004D32AE"/>
    <w:rsid w:val="004D3617"/>
    <w:rsid w:val="004D475C"/>
    <w:rsid w:val="004D5AD0"/>
    <w:rsid w:val="004D66CF"/>
    <w:rsid w:val="004D784D"/>
    <w:rsid w:val="004E04A7"/>
    <w:rsid w:val="004E04CE"/>
    <w:rsid w:val="004E12E7"/>
    <w:rsid w:val="004E1F46"/>
    <w:rsid w:val="004E262D"/>
    <w:rsid w:val="004E4362"/>
    <w:rsid w:val="004E4674"/>
    <w:rsid w:val="004E4783"/>
    <w:rsid w:val="004E49D1"/>
    <w:rsid w:val="004E4D2A"/>
    <w:rsid w:val="004E630A"/>
    <w:rsid w:val="004E7678"/>
    <w:rsid w:val="004F0D89"/>
    <w:rsid w:val="004F21E5"/>
    <w:rsid w:val="004F2212"/>
    <w:rsid w:val="004F2232"/>
    <w:rsid w:val="004F44C5"/>
    <w:rsid w:val="00500584"/>
    <w:rsid w:val="00500EFB"/>
    <w:rsid w:val="00501303"/>
    <w:rsid w:val="00501E1B"/>
    <w:rsid w:val="005026F7"/>
    <w:rsid w:val="0050283E"/>
    <w:rsid w:val="005036F7"/>
    <w:rsid w:val="00504C14"/>
    <w:rsid w:val="00505FD7"/>
    <w:rsid w:val="00506E06"/>
    <w:rsid w:val="00506F32"/>
    <w:rsid w:val="00512C8B"/>
    <w:rsid w:val="00513004"/>
    <w:rsid w:val="00513D22"/>
    <w:rsid w:val="00514C7A"/>
    <w:rsid w:val="00522E5C"/>
    <w:rsid w:val="00523021"/>
    <w:rsid w:val="00524C9B"/>
    <w:rsid w:val="00524D77"/>
    <w:rsid w:val="00527B92"/>
    <w:rsid w:val="00527C56"/>
    <w:rsid w:val="00531206"/>
    <w:rsid w:val="005322D9"/>
    <w:rsid w:val="00536E77"/>
    <w:rsid w:val="005376B2"/>
    <w:rsid w:val="0054066A"/>
    <w:rsid w:val="00540A90"/>
    <w:rsid w:val="00541DB9"/>
    <w:rsid w:val="0054312B"/>
    <w:rsid w:val="00545EB1"/>
    <w:rsid w:val="00546F10"/>
    <w:rsid w:val="0054798E"/>
    <w:rsid w:val="005519B7"/>
    <w:rsid w:val="0055209F"/>
    <w:rsid w:val="00552344"/>
    <w:rsid w:val="00552AD6"/>
    <w:rsid w:val="0055629A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17F6"/>
    <w:rsid w:val="00572DEF"/>
    <w:rsid w:val="005752B2"/>
    <w:rsid w:val="00575585"/>
    <w:rsid w:val="00576439"/>
    <w:rsid w:val="00576C80"/>
    <w:rsid w:val="00577542"/>
    <w:rsid w:val="00577FF1"/>
    <w:rsid w:val="00580FDD"/>
    <w:rsid w:val="005811A9"/>
    <w:rsid w:val="00581B09"/>
    <w:rsid w:val="00582D0E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9D0"/>
    <w:rsid w:val="0059756A"/>
    <w:rsid w:val="005A05D3"/>
    <w:rsid w:val="005A160F"/>
    <w:rsid w:val="005A2E5B"/>
    <w:rsid w:val="005A57A8"/>
    <w:rsid w:val="005A57AF"/>
    <w:rsid w:val="005A5DEE"/>
    <w:rsid w:val="005A759D"/>
    <w:rsid w:val="005B008A"/>
    <w:rsid w:val="005B1E07"/>
    <w:rsid w:val="005B43A2"/>
    <w:rsid w:val="005B5040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1EAC"/>
    <w:rsid w:val="005E2DE6"/>
    <w:rsid w:val="005E3989"/>
    <w:rsid w:val="005E5858"/>
    <w:rsid w:val="005E6FFE"/>
    <w:rsid w:val="005F022D"/>
    <w:rsid w:val="005F107B"/>
    <w:rsid w:val="005F140B"/>
    <w:rsid w:val="005F1CE9"/>
    <w:rsid w:val="005F28E3"/>
    <w:rsid w:val="005F3D90"/>
    <w:rsid w:val="005F5897"/>
    <w:rsid w:val="005F6607"/>
    <w:rsid w:val="00602B20"/>
    <w:rsid w:val="00605F9E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29C4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46D2"/>
    <w:rsid w:val="006552CF"/>
    <w:rsid w:val="00655C14"/>
    <w:rsid w:val="0065740A"/>
    <w:rsid w:val="0066013F"/>
    <w:rsid w:val="00660F4C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06FD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A1BBE"/>
    <w:rsid w:val="006A2060"/>
    <w:rsid w:val="006A2E2D"/>
    <w:rsid w:val="006A40C0"/>
    <w:rsid w:val="006A4122"/>
    <w:rsid w:val="006A4A26"/>
    <w:rsid w:val="006A61C5"/>
    <w:rsid w:val="006A6543"/>
    <w:rsid w:val="006B056D"/>
    <w:rsid w:val="006B0A23"/>
    <w:rsid w:val="006B1293"/>
    <w:rsid w:val="006B165C"/>
    <w:rsid w:val="006B16A7"/>
    <w:rsid w:val="006B2864"/>
    <w:rsid w:val="006B2B0C"/>
    <w:rsid w:val="006B2CEE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C7268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17FA"/>
    <w:rsid w:val="006F3F74"/>
    <w:rsid w:val="006F41BE"/>
    <w:rsid w:val="006F650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AE1"/>
    <w:rsid w:val="00704142"/>
    <w:rsid w:val="0070512E"/>
    <w:rsid w:val="007052C3"/>
    <w:rsid w:val="007078AF"/>
    <w:rsid w:val="0071187A"/>
    <w:rsid w:val="00711DC8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B39"/>
    <w:rsid w:val="00723122"/>
    <w:rsid w:val="00724F8D"/>
    <w:rsid w:val="007250D6"/>
    <w:rsid w:val="0072577B"/>
    <w:rsid w:val="00725D2D"/>
    <w:rsid w:val="00725FA4"/>
    <w:rsid w:val="007270B9"/>
    <w:rsid w:val="00727BEC"/>
    <w:rsid w:val="0073342B"/>
    <w:rsid w:val="00734EC4"/>
    <w:rsid w:val="007351A4"/>
    <w:rsid w:val="00737C01"/>
    <w:rsid w:val="00740368"/>
    <w:rsid w:val="0074119A"/>
    <w:rsid w:val="0074128B"/>
    <w:rsid w:val="00741A49"/>
    <w:rsid w:val="007420B5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7F5"/>
    <w:rsid w:val="007628F4"/>
    <w:rsid w:val="007629A6"/>
    <w:rsid w:val="00763099"/>
    <w:rsid w:val="00765998"/>
    <w:rsid w:val="007672C6"/>
    <w:rsid w:val="0077005B"/>
    <w:rsid w:val="00771F63"/>
    <w:rsid w:val="007739A0"/>
    <w:rsid w:val="00774C5B"/>
    <w:rsid w:val="00774CF3"/>
    <w:rsid w:val="00782238"/>
    <w:rsid w:val="007822F5"/>
    <w:rsid w:val="00783B45"/>
    <w:rsid w:val="00783BF3"/>
    <w:rsid w:val="00783EB9"/>
    <w:rsid w:val="00785999"/>
    <w:rsid w:val="00785C73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4E2"/>
    <w:rsid w:val="007B3610"/>
    <w:rsid w:val="007B4064"/>
    <w:rsid w:val="007B4125"/>
    <w:rsid w:val="007B4908"/>
    <w:rsid w:val="007B59AD"/>
    <w:rsid w:val="007B5CD6"/>
    <w:rsid w:val="007B5DBF"/>
    <w:rsid w:val="007B7802"/>
    <w:rsid w:val="007C1377"/>
    <w:rsid w:val="007C2371"/>
    <w:rsid w:val="007C26DB"/>
    <w:rsid w:val="007C397A"/>
    <w:rsid w:val="007C3B93"/>
    <w:rsid w:val="007C3C07"/>
    <w:rsid w:val="007C4206"/>
    <w:rsid w:val="007C69CF"/>
    <w:rsid w:val="007D18D7"/>
    <w:rsid w:val="007D253B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A19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EC4"/>
    <w:rsid w:val="00803733"/>
    <w:rsid w:val="00804A6E"/>
    <w:rsid w:val="00805C46"/>
    <w:rsid w:val="008068AA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02F"/>
    <w:rsid w:val="00815A39"/>
    <w:rsid w:val="00816062"/>
    <w:rsid w:val="00817344"/>
    <w:rsid w:val="008207D5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318F"/>
    <w:rsid w:val="00833F9D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95"/>
    <w:rsid w:val="00880FBD"/>
    <w:rsid w:val="008815B4"/>
    <w:rsid w:val="008821EB"/>
    <w:rsid w:val="00882E67"/>
    <w:rsid w:val="00882EC3"/>
    <w:rsid w:val="00882F5A"/>
    <w:rsid w:val="00883040"/>
    <w:rsid w:val="0088378C"/>
    <w:rsid w:val="0088674B"/>
    <w:rsid w:val="008908D6"/>
    <w:rsid w:val="008924F7"/>
    <w:rsid w:val="008942B0"/>
    <w:rsid w:val="008947A0"/>
    <w:rsid w:val="008A05F0"/>
    <w:rsid w:val="008A0B55"/>
    <w:rsid w:val="008A0D1E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6EF5"/>
    <w:rsid w:val="008E0D03"/>
    <w:rsid w:val="008E0EC1"/>
    <w:rsid w:val="008E1F16"/>
    <w:rsid w:val="008E218C"/>
    <w:rsid w:val="008E2DE1"/>
    <w:rsid w:val="008E2F1F"/>
    <w:rsid w:val="008E3858"/>
    <w:rsid w:val="008E4D5F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2DC3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700E"/>
    <w:rsid w:val="009510F5"/>
    <w:rsid w:val="009517C0"/>
    <w:rsid w:val="00951E4D"/>
    <w:rsid w:val="00953F5C"/>
    <w:rsid w:val="0095664D"/>
    <w:rsid w:val="00956BA5"/>
    <w:rsid w:val="00957D25"/>
    <w:rsid w:val="00960582"/>
    <w:rsid w:val="009618C6"/>
    <w:rsid w:val="00962AC9"/>
    <w:rsid w:val="009634E3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6070"/>
    <w:rsid w:val="009765DB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A5127"/>
    <w:rsid w:val="009A614A"/>
    <w:rsid w:val="009B0424"/>
    <w:rsid w:val="009B0EB7"/>
    <w:rsid w:val="009B125D"/>
    <w:rsid w:val="009B5BC3"/>
    <w:rsid w:val="009B5EB3"/>
    <w:rsid w:val="009B6A48"/>
    <w:rsid w:val="009C2E0E"/>
    <w:rsid w:val="009C3DFF"/>
    <w:rsid w:val="009C40CE"/>
    <w:rsid w:val="009C4143"/>
    <w:rsid w:val="009C485D"/>
    <w:rsid w:val="009C5CBD"/>
    <w:rsid w:val="009C667F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0E7"/>
    <w:rsid w:val="009E7425"/>
    <w:rsid w:val="009E75E2"/>
    <w:rsid w:val="009E7B10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05B30"/>
    <w:rsid w:val="00A134E4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5879"/>
    <w:rsid w:val="00A55C3A"/>
    <w:rsid w:val="00A575BB"/>
    <w:rsid w:val="00A578BA"/>
    <w:rsid w:val="00A57AED"/>
    <w:rsid w:val="00A6392B"/>
    <w:rsid w:val="00A639D2"/>
    <w:rsid w:val="00A64AED"/>
    <w:rsid w:val="00A65267"/>
    <w:rsid w:val="00A65CB7"/>
    <w:rsid w:val="00A6696B"/>
    <w:rsid w:val="00A67530"/>
    <w:rsid w:val="00A67926"/>
    <w:rsid w:val="00A70661"/>
    <w:rsid w:val="00A71103"/>
    <w:rsid w:val="00A72E02"/>
    <w:rsid w:val="00A75757"/>
    <w:rsid w:val="00A7685B"/>
    <w:rsid w:val="00A80536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5CD8"/>
    <w:rsid w:val="00AA6767"/>
    <w:rsid w:val="00AA6BDF"/>
    <w:rsid w:val="00AB021D"/>
    <w:rsid w:val="00AB2411"/>
    <w:rsid w:val="00AB2D57"/>
    <w:rsid w:val="00AB2FF0"/>
    <w:rsid w:val="00AB3413"/>
    <w:rsid w:val="00AB48D5"/>
    <w:rsid w:val="00AB5AEF"/>
    <w:rsid w:val="00AB61F2"/>
    <w:rsid w:val="00AB6E85"/>
    <w:rsid w:val="00AC376F"/>
    <w:rsid w:val="00AC3BD8"/>
    <w:rsid w:val="00AC4AAF"/>
    <w:rsid w:val="00AC4BA5"/>
    <w:rsid w:val="00AC6B85"/>
    <w:rsid w:val="00AD083C"/>
    <w:rsid w:val="00AD0A14"/>
    <w:rsid w:val="00AD0CCD"/>
    <w:rsid w:val="00AD12DA"/>
    <w:rsid w:val="00AD26B1"/>
    <w:rsid w:val="00AD44D3"/>
    <w:rsid w:val="00AD5613"/>
    <w:rsid w:val="00AD6490"/>
    <w:rsid w:val="00AE1589"/>
    <w:rsid w:val="00AE1B2C"/>
    <w:rsid w:val="00AE28A0"/>
    <w:rsid w:val="00AE3520"/>
    <w:rsid w:val="00AE4ABE"/>
    <w:rsid w:val="00AE57D5"/>
    <w:rsid w:val="00AE5B3A"/>
    <w:rsid w:val="00AE63B0"/>
    <w:rsid w:val="00AE68A3"/>
    <w:rsid w:val="00AE68B4"/>
    <w:rsid w:val="00AF0563"/>
    <w:rsid w:val="00AF05FD"/>
    <w:rsid w:val="00AF1407"/>
    <w:rsid w:val="00AF1D4E"/>
    <w:rsid w:val="00AF24E2"/>
    <w:rsid w:val="00AF44A4"/>
    <w:rsid w:val="00AF5348"/>
    <w:rsid w:val="00B00B3D"/>
    <w:rsid w:val="00B019D1"/>
    <w:rsid w:val="00B03D83"/>
    <w:rsid w:val="00B04391"/>
    <w:rsid w:val="00B05B9C"/>
    <w:rsid w:val="00B1090C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27DB7"/>
    <w:rsid w:val="00B31690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A08"/>
    <w:rsid w:val="00B36AF6"/>
    <w:rsid w:val="00B37744"/>
    <w:rsid w:val="00B37A11"/>
    <w:rsid w:val="00B402E5"/>
    <w:rsid w:val="00B42243"/>
    <w:rsid w:val="00B472B9"/>
    <w:rsid w:val="00B47679"/>
    <w:rsid w:val="00B47CC1"/>
    <w:rsid w:val="00B52211"/>
    <w:rsid w:val="00B52229"/>
    <w:rsid w:val="00B53BAC"/>
    <w:rsid w:val="00B5537F"/>
    <w:rsid w:val="00B55AED"/>
    <w:rsid w:val="00B57ED2"/>
    <w:rsid w:val="00B6074B"/>
    <w:rsid w:val="00B60DFB"/>
    <w:rsid w:val="00B60E3B"/>
    <w:rsid w:val="00B62AF8"/>
    <w:rsid w:val="00B63477"/>
    <w:rsid w:val="00B63AA2"/>
    <w:rsid w:val="00B644DC"/>
    <w:rsid w:val="00B64BF4"/>
    <w:rsid w:val="00B66EDA"/>
    <w:rsid w:val="00B6754C"/>
    <w:rsid w:val="00B70656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502E"/>
    <w:rsid w:val="00BA5323"/>
    <w:rsid w:val="00BA54AB"/>
    <w:rsid w:val="00BA6009"/>
    <w:rsid w:val="00BA6406"/>
    <w:rsid w:val="00BA6E35"/>
    <w:rsid w:val="00BA7D25"/>
    <w:rsid w:val="00BB04FA"/>
    <w:rsid w:val="00BB0596"/>
    <w:rsid w:val="00BB289F"/>
    <w:rsid w:val="00BB336F"/>
    <w:rsid w:val="00BB3BC8"/>
    <w:rsid w:val="00BB40B5"/>
    <w:rsid w:val="00BB72A4"/>
    <w:rsid w:val="00BB7F79"/>
    <w:rsid w:val="00BC062B"/>
    <w:rsid w:val="00BC0BAF"/>
    <w:rsid w:val="00BC0C2E"/>
    <w:rsid w:val="00BC10ED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40E0"/>
    <w:rsid w:val="00BE5AFD"/>
    <w:rsid w:val="00BE5C79"/>
    <w:rsid w:val="00BE5DBC"/>
    <w:rsid w:val="00BE602E"/>
    <w:rsid w:val="00BE6C21"/>
    <w:rsid w:val="00BE777D"/>
    <w:rsid w:val="00BE7E4F"/>
    <w:rsid w:val="00BF0207"/>
    <w:rsid w:val="00BF1001"/>
    <w:rsid w:val="00BF12FA"/>
    <w:rsid w:val="00BF1317"/>
    <w:rsid w:val="00BF18BE"/>
    <w:rsid w:val="00BF218D"/>
    <w:rsid w:val="00BF26EB"/>
    <w:rsid w:val="00BF5C68"/>
    <w:rsid w:val="00BF7D40"/>
    <w:rsid w:val="00C002B2"/>
    <w:rsid w:val="00C00B75"/>
    <w:rsid w:val="00C01557"/>
    <w:rsid w:val="00C02287"/>
    <w:rsid w:val="00C0381A"/>
    <w:rsid w:val="00C04394"/>
    <w:rsid w:val="00C05565"/>
    <w:rsid w:val="00C05933"/>
    <w:rsid w:val="00C05D2F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1A1"/>
    <w:rsid w:val="00C1621B"/>
    <w:rsid w:val="00C17443"/>
    <w:rsid w:val="00C2017F"/>
    <w:rsid w:val="00C21525"/>
    <w:rsid w:val="00C22420"/>
    <w:rsid w:val="00C22C87"/>
    <w:rsid w:val="00C26117"/>
    <w:rsid w:val="00C27391"/>
    <w:rsid w:val="00C2774C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C75"/>
    <w:rsid w:val="00C37E0C"/>
    <w:rsid w:val="00C4341D"/>
    <w:rsid w:val="00C4371D"/>
    <w:rsid w:val="00C441B9"/>
    <w:rsid w:val="00C4436E"/>
    <w:rsid w:val="00C44466"/>
    <w:rsid w:val="00C45955"/>
    <w:rsid w:val="00C47279"/>
    <w:rsid w:val="00C503AF"/>
    <w:rsid w:val="00C50EB2"/>
    <w:rsid w:val="00C5288C"/>
    <w:rsid w:val="00C532AF"/>
    <w:rsid w:val="00C5399A"/>
    <w:rsid w:val="00C549AA"/>
    <w:rsid w:val="00C54E35"/>
    <w:rsid w:val="00C555BE"/>
    <w:rsid w:val="00C55D85"/>
    <w:rsid w:val="00C55FBA"/>
    <w:rsid w:val="00C56045"/>
    <w:rsid w:val="00C56849"/>
    <w:rsid w:val="00C61B40"/>
    <w:rsid w:val="00C624F8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85D"/>
    <w:rsid w:val="00C73EB4"/>
    <w:rsid w:val="00C7403D"/>
    <w:rsid w:val="00C74D92"/>
    <w:rsid w:val="00C75EB7"/>
    <w:rsid w:val="00C764EE"/>
    <w:rsid w:val="00C76AB9"/>
    <w:rsid w:val="00C76DE1"/>
    <w:rsid w:val="00C84482"/>
    <w:rsid w:val="00C8451F"/>
    <w:rsid w:val="00C85167"/>
    <w:rsid w:val="00C913DF"/>
    <w:rsid w:val="00C922FD"/>
    <w:rsid w:val="00C93364"/>
    <w:rsid w:val="00C9392A"/>
    <w:rsid w:val="00C93DCB"/>
    <w:rsid w:val="00C94170"/>
    <w:rsid w:val="00C948BC"/>
    <w:rsid w:val="00C95AAC"/>
    <w:rsid w:val="00C95CE0"/>
    <w:rsid w:val="00C95EF2"/>
    <w:rsid w:val="00C95F09"/>
    <w:rsid w:val="00C971EA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1818"/>
    <w:rsid w:val="00CB4339"/>
    <w:rsid w:val="00CB5591"/>
    <w:rsid w:val="00CB5935"/>
    <w:rsid w:val="00CB6415"/>
    <w:rsid w:val="00CB68B1"/>
    <w:rsid w:val="00CB6D61"/>
    <w:rsid w:val="00CC0890"/>
    <w:rsid w:val="00CC4E64"/>
    <w:rsid w:val="00CC5F45"/>
    <w:rsid w:val="00CC7001"/>
    <w:rsid w:val="00CD170C"/>
    <w:rsid w:val="00CD2EE4"/>
    <w:rsid w:val="00CD3075"/>
    <w:rsid w:val="00CD54B9"/>
    <w:rsid w:val="00CD671C"/>
    <w:rsid w:val="00CE035B"/>
    <w:rsid w:val="00CE257E"/>
    <w:rsid w:val="00CE41C8"/>
    <w:rsid w:val="00CE6694"/>
    <w:rsid w:val="00CE79E7"/>
    <w:rsid w:val="00CF0495"/>
    <w:rsid w:val="00CF1543"/>
    <w:rsid w:val="00CF16C9"/>
    <w:rsid w:val="00CF5334"/>
    <w:rsid w:val="00CF5EE5"/>
    <w:rsid w:val="00CF72CE"/>
    <w:rsid w:val="00CF749C"/>
    <w:rsid w:val="00D00B9F"/>
    <w:rsid w:val="00D00D2F"/>
    <w:rsid w:val="00D03E1F"/>
    <w:rsid w:val="00D03F98"/>
    <w:rsid w:val="00D047FB"/>
    <w:rsid w:val="00D05F41"/>
    <w:rsid w:val="00D0706E"/>
    <w:rsid w:val="00D07128"/>
    <w:rsid w:val="00D10180"/>
    <w:rsid w:val="00D10715"/>
    <w:rsid w:val="00D11746"/>
    <w:rsid w:val="00D124C3"/>
    <w:rsid w:val="00D131E2"/>
    <w:rsid w:val="00D13F9C"/>
    <w:rsid w:val="00D14684"/>
    <w:rsid w:val="00D14A39"/>
    <w:rsid w:val="00D14A97"/>
    <w:rsid w:val="00D1666B"/>
    <w:rsid w:val="00D16D78"/>
    <w:rsid w:val="00D175A2"/>
    <w:rsid w:val="00D215E0"/>
    <w:rsid w:val="00D21D8A"/>
    <w:rsid w:val="00D21E18"/>
    <w:rsid w:val="00D22B97"/>
    <w:rsid w:val="00D237F5"/>
    <w:rsid w:val="00D2529F"/>
    <w:rsid w:val="00D25729"/>
    <w:rsid w:val="00D264E0"/>
    <w:rsid w:val="00D2693D"/>
    <w:rsid w:val="00D27923"/>
    <w:rsid w:val="00D311D8"/>
    <w:rsid w:val="00D31E3B"/>
    <w:rsid w:val="00D3239A"/>
    <w:rsid w:val="00D34F5D"/>
    <w:rsid w:val="00D362E2"/>
    <w:rsid w:val="00D36356"/>
    <w:rsid w:val="00D3731D"/>
    <w:rsid w:val="00D4141C"/>
    <w:rsid w:val="00D41F21"/>
    <w:rsid w:val="00D43177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32B6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E3"/>
    <w:rsid w:val="00D75ADA"/>
    <w:rsid w:val="00D76DB5"/>
    <w:rsid w:val="00D77911"/>
    <w:rsid w:val="00D80E3B"/>
    <w:rsid w:val="00D81391"/>
    <w:rsid w:val="00D82004"/>
    <w:rsid w:val="00D83C6D"/>
    <w:rsid w:val="00D879EB"/>
    <w:rsid w:val="00D9074D"/>
    <w:rsid w:val="00D9257F"/>
    <w:rsid w:val="00D92925"/>
    <w:rsid w:val="00D92C95"/>
    <w:rsid w:val="00D938C5"/>
    <w:rsid w:val="00D93AE1"/>
    <w:rsid w:val="00D944D5"/>
    <w:rsid w:val="00D9601A"/>
    <w:rsid w:val="00D9683F"/>
    <w:rsid w:val="00D970B5"/>
    <w:rsid w:val="00DA04E5"/>
    <w:rsid w:val="00DA0575"/>
    <w:rsid w:val="00DA1004"/>
    <w:rsid w:val="00DA1325"/>
    <w:rsid w:val="00DA3BD5"/>
    <w:rsid w:val="00DA4FE7"/>
    <w:rsid w:val="00DB11C7"/>
    <w:rsid w:val="00DB154D"/>
    <w:rsid w:val="00DB1A89"/>
    <w:rsid w:val="00DB1DEF"/>
    <w:rsid w:val="00DB351F"/>
    <w:rsid w:val="00DB3DA7"/>
    <w:rsid w:val="00DB5049"/>
    <w:rsid w:val="00DB65BA"/>
    <w:rsid w:val="00DB6C02"/>
    <w:rsid w:val="00DC03A8"/>
    <w:rsid w:val="00DC075C"/>
    <w:rsid w:val="00DC08B9"/>
    <w:rsid w:val="00DC1063"/>
    <w:rsid w:val="00DC1B9C"/>
    <w:rsid w:val="00DC1FA8"/>
    <w:rsid w:val="00DC313C"/>
    <w:rsid w:val="00DC4EDE"/>
    <w:rsid w:val="00DC520D"/>
    <w:rsid w:val="00DC5210"/>
    <w:rsid w:val="00DC5615"/>
    <w:rsid w:val="00DC56A7"/>
    <w:rsid w:val="00DC5730"/>
    <w:rsid w:val="00DC6F00"/>
    <w:rsid w:val="00DC7087"/>
    <w:rsid w:val="00DC79EE"/>
    <w:rsid w:val="00DC7EF5"/>
    <w:rsid w:val="00DD03C4"/>
    <w:rsid w:val="00DD1C15"/>
    <w:rsid w:val="00DD682B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E7CA8"/>
    <w:rsid w:val="00DF0232"/>
    <w:rsid w:val="00DF1FD3"/>
    <w:rsid w:val="00DF27EC"/>
    <w:rsid w:val="00DF4E3F"/>
    <w:rsid w:val="00DF5296"/>
    <w:rsid w:val="00DF68E7"/>
    <w:rsid w:val="00E00222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04C"/>
    <w:rsid w:val="00E27140"/>
    <w:rsid w:val="00E271F9"/>
    <w:rsid w:val="00E274EE"/>
    <w:rsid w:val="00E31A46"/>
    <w:rsid w:val="00E324DA"/>
    <w:rsid w:val="00E3698C"/>
    <w:rsid w:val="00E372C9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2C0"/>
    <w:rsid w:val="00E536F3"/>
    <w:rsid w:val="00E54670"/>
    <w:rsid w:val="00E6003E"/>
    <w:rsid w:val="00E60593"/>
    <w:rsid w:val="00E62B0D"/>
    <w:rsid w:val="00E657B6"/>
    <w:rsid w:val="00E661CB"/>
    <w:rsid w:val="00E66245"/>
    <w:rsid w:val="00E66C6F"/>
    <w:rsid w:val="00E66DAF"/>
    <w:rsid w:val="00E7045C"/>
    <w:rsid w:val="00E70EAF"/>
    <w:rsid w:val="00E710AA"/>
    <w:rsid w:val="00E71762"/>
    <w:rsid w:val="00E725A5"/>
    <w:rsid w:val="00E728A0"/>
    <w:rsid w:val="00E72A21"/>
    <w:rsid w:val="00E73EC7"/>
    <w:rsid w:val="00E7423A"/>
    <w:rsid w:val="00E75632"/>
    <w:rsid w:val="00E75837"/>
    <w:rsid w:val="00E76BAA"/>
    <w:rsid w:val="00E803AA"/>
    <w:rsid w:val="00E80722"/>
    <w:rsid w:val="00E80D82"/>
    <w:rsid w:val="00E831E5"/>
    <w:rsid w:val="00E84A9E"/>
    <w:rsid w:val="00E84F10"/>
    <w:rsid w:val="00E84F7F"/>
    <w:rsid w:val="00E868EE"/>
    <w:rsid w:val="00E900BC"/>
    <w:rsid w:val="00E905DB"/>
    <w:rsid w:val="00E9103E"/>
    <w:rsid w:val="00E922C6"/>
    <w:rsid w:val="00E93A4A"/>
    <w:rsid w:val="00E9472D"/>
    <w:rsid w:val="00E96618"/>
    <w:rsid w:val="00E966F1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5C61"/>
    <w:rsid w:val="00EA5CE6"/>
    <w:rsid w:val="00EB0050"/>
    <w:rsid w:val="00EB1AFC"/>
    <w:rsid w:val="00EB2891"/>
    <w:rsid w:val="00EB2AB4"/>
    <w:rsid w:val="00EB3E8F"/>
    <w:rsid w:val="00EB6537"/>
    <w:rsid w:val="00EB6BA5"/>
    <w:rsid w:val="00EB6F4C"/>
    <w:rsid w:val="00EC039B"/>
    <w:rsid w:val="00EC36AE"/>
    <w:rsid w:val="00EC484E"/>
    <w:rsid w:val="00EC4A6D"/>
    <w:rsid w:val="00EC6925"/>
    <w:rsid w:val="00EC6AE0"/>
    <w:rsid w:val="00EC6B51"/>
    <w:rsid w:val="00EC6FFD"/>
    <w:rsid w:val="00EC7323"/>
    <w:rsid w:val="00EC7BF5"/>
    <w:rsid w:val="00ED1273"/>
    <w:rsid w:val="00ED1AB1"/>
    <w:rsid w:val="00ED22E7"/>
    <w:rsid w:val="00ED3847"/>
    <w:rsid w:val="00ED4059"/>
    <w:rsid w:val="00ED46B0"/>
    <w:rsid w:val="00ED4E2F"/>
    <w:rsid w:val="00ED5339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53AB"/>
    <w:rsid w:val="00F05468"/>
    <w:rsid w:val="00F0598D"/>
    <w:rsid w:val="00F05F9C"/>
    <w:rsid w:val="00F0699B"/>
    <w:rsid w:val="00F07A6C"/>
    <w:rsid w:val="00F1022B"/>
    <w:rsid w:val="00F104AC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8DD"/>
    <w:rsid w:val="00F34D01"/>
    <w:rsid w:val="00F35DE7"/>
    <w:rsid w:val="00F37AA8"/>
    <w:rsid w:val="00F423D5"/>
    <w:rsid w:val="00F426A6"/>
    <w:rsid w:val="00F4282C"/>
    <w:rsid w:val="00F47312"/>
    <w:rsid w:val="00F473F6"/>
    <w:rsid w:val="00F509FD"/>
    <w:rsid w:val="00F5128A"/>
    <w:rsid w:val="00F51B40"/>
    <w:rsid w:val="00F52C89"/>
    <w:rsid w:val="00F531D9"/>
    <w:rsid w:val="00F543E0"/>
    <w:rsid w:val="00F556D3"/>
    <w:rsid w:val="00F556EA"/>
    <w:rsid w:val="00F55C99"/>
    <w:rsid w:val="00F604FA"/>
    <w:rsid w:val="00F60E0F"/>
    <w:rsid w:val="00F61B3B"/>
    <w:rsid w:val="00F61D6C"/>
    <w:rsid w:val="00F62305"/>
    <w:rsid w:val="00F63A0D"/>
    <w:rsid w:val="00F65055"/>
    <w:rsid w:val="00F7097D"/>
    <w:rsid w:val="00F717BD"/>
    <w:rsid w:val="00F71960"/>
    <w:rsid w:val="00F71EBE"/>
    <w:rsid w:val="00F729B1"/>
    <w:rsid w:val="00F734FA"/>
    <w:rsid w:val="00F741AC"/>
    <w:rsid w:val="00F7592B"/>
    <w:rsid w:val="00F77C07"/>
    <w:rsid w:val="00F811D7"/>
    <w:rsid w:val="00F814E0"/>
    <w:rsid w:val="00F816EB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70BB"/>
    <w:rsid w:val="00FA0F6B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3984"/>
    <w:rsid w:val="00FB3E9F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0E21"/>
    <w:rsid w:val="00FC2060"/>
    <w:rsid w:val="00FC3C72"/>
    <w:rsid w:val="00FC5038"/>
    <w:rsid w:val="00FC69A7"/>
    <w:rsid w:val="00FC7E2B"/>
    <w:rsid w:val="00FD08FF"/>
    <w:rsid w:val="00FD1998"/>
    <w:rsid w:val="00FD1DAC"/>
    <w:rsid w:val="00FD2284"/>
    <w:rsid w:val="00FD2750"/>
    <w:rsid w:val="00FD2B67"/>
    <w:rsid w:val="00FD2EE1"/>
    <w:rsid w:val="00FD30CB"/>
    <w:rsid w:val="00FD3DEB"/>
    <w:rsid w:val="00FD3F6A"/>
    <w:rsid w:val="00FD401D"/>
    <w:rsid w:val="00FD40CD"/>
    <w:rsid w:val="00FD43A4"/>
    <w:rsid w:val="00FD4CA9"/>
    <w:rsid w:val="00FD4F98"/>
    <w:rsid w:val="00FD57A3"/>
    <w:rsid w:val="00FD75F1"/>
    <w:rsid w:val="00FE0499"/>
    <w:rsid w:val="00FE0559"/>
    <w:rsid w:val="00FE2806"/>
    <w:rsid w:val="00FE28BD"/>
    <w:rsid w:val="00FE29D3"/>
    <w:rsid w:val="00FE456A"/>
    <w:rsid w:val="00FE485E"/>
    <w:rsid w:val="00FE4E01"/>
    <w:rsid w:val="00FE5F3D"/>
    <w:rsid w:val="00FE7353"/>
    <w:rsid w:val="00FE74E2"/>
    <w:rsid w:val="00FE7714"/>
    <w:rsid w:val="00FE7C29"/>
    <w:rsid w:val="00FE7E20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8.jpg@01D68C1D.79D2B2C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287A5-0C41-4BD2-838E-91546F9D9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2020-10-12T20:30:00Z</dcterms:created>
  <dcterms:modified xsi:type="dcterms:W3CDTF">2021-10-21T22:26:00Z</dcterms:modified>
</cp:coreProperties>
</file>